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B2134C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5.7.1 «Онтология и теория познания»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B2134C">
        <w:rPr>
          <w:sz w:val="28"/>
          <w:szCs w:val="28"/>
        </w:rPr>
        <w:t>5.7.1 «Онтология и теория познания»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lastRenderedPageBreak/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2134C" w:rsidRDefault="00B2134C" w:rsidP="00B2134C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методологические основы исследования актуальных проблем онтологии и теории познания; онтологические и эпистемологические учения и концепции, релевантные основным этапам развития философии; современные тенденции развития онтологии и теории познания.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134C" w:rsidRPr="0020011E" w:rsidRDefault="00B2134C" w:rsidP="00B2134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134C" w:rsidRPr="0020011E" w:rsidRDefault="00B2134C" w:rsidP="00B2134C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проводить критический анализ онтологических моделей и эпистемологических направлений, подходов и концепций, обоснованно и аргументированно выстраивать дискурс; самостоятельно выявлять актуальные проблемы онтологии и теории познания, определять цели и задачи исследований в области онтологии и теории познания и находить способы решения научных проблем; применять философскую методологию в междисциплинарных исследованиях бытия и познания.</w:t>
            </w:r>
          </w:p>
        </w:tc>
      </w:tr>
      <w:tr w:rsidR="00B2134C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134C" w:rsidRPr="0020011E" w:rsidRDefault="00B2134C" w:rsidP="00B2134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134C" w:rsidRPr="0020011E" w:rsidRDefault="00B2134C" w:rsidP="00B2134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категориальным аппаратом онтологии и теории познания; навыками анализа философских и научных текстов по онтологии и теории познания, аргументированного ведения дискуссии по основным темам онтологии и теории познания, навыками постановки и решения научных проблем; навыками критического анализа аксиологических аспектов представлений о бытии и познании.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lastRenderedPageBreak/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</w:t>
      </w:r>
      <w:r w:rsidR="00B0121C" w:rsidRPr="00ED4FAA">
        <w:rPr>
          <w:sz w:val="28"/>
          <w:szCs w:val="28"/>
        </w:rPr>
        <w:lastRenderedPageBreak/>
        <w:t xml:space="preserve">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2134C" w:rsidRDefault="00B2134C" w:rsidP="00B2134C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специфики теоретической философии, теоретических и методологических основ исследования актуальных проблем онтологии; онтологических учений и концепций, релевантные основным историческим этапам развития философии; современных тенденций развития онтологии; </w:t>
            </w:r>
          </w:p>
          <w:p w:rsidR="00B2134C" w:rsidRDefault="00B2134C" w:rsidP="00B2134C">
            <w:pPr>
              <w:widowControl/>
              <w:ind w:firstLine="0"/>
            </w:pPr>
            <w:r>
              <w:t>типологии онтологических моделей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2134C" w:rsidRDefault="00B2134C" w:rsidP="00B2134C">
            <w:pPr>
              <w:contextualSpacing/>
              <w:rPr>
                <w:kern w:val="24"/>
              </w:rPr>
            </w:pP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проводить критический анализ онтологических моделей и методов их построения; анализировать взаимосвязь онтологии и гносеологии в построении моделей бытия; анализировать взаимосвязь онтологических моделей с уровнем развития научного знания и социокультурным контекстом исторической эпохи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2134C" w:rsidRPr="00B06A52" w:rsidTr="00F73249">
        <w:trPr>
          <w:trHeight w:val="240"/>
        </w:trPr>
        <w:tc>
          <w:tcPr>
            <w:tcW w:w="1668" w:type="dxa"/>
          </w:tcPr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B2134C" w:rsidRPr="00660C7E" w:rsidRDefault="00B2134C" w:rsidP="00B2134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2134C" w:rsidRDefault="00B2134C" w:rsidP="00B2134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</w:t>
            </w:r>
            <w:proofErr w:type="spellStart"/>
            <w:r>
              <w:t>типологизации</w:t>
            </w:r>
            <w:proofErr w:type="spellEnd"/>
            <w:r>
              <w:t xml:space="preserve"> онтологических</w:t>
            </w:r>
            <w:bookmarkStart w:id="1" w:name="_GoBack"/>
            <w:bookmarkEnd w:id="1"/>
            <w:r>
              <w:t xml:space="preserve"> моделей; навыками применения философской методологии в междисциплинарных исследованиях бытия</w:t>
            </w:r>
          </w:p>
        </w:tc>
        <w:tc>
          <w:tcPr>
            <w:tcW w:w="1701" w:type="dxa"/>
          </w:tcPr>
          <w:p w:rsidR="00B2134C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134C" w:rsidRPr="00D04E6B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134C" w:rsidRPr="00545A9D" w:rsidRDefault="00B2134C" w:rsidP="00B2134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2134C" w:rsidRDefault="00B2134C" w:rsidP="00B2134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Особенности развития высшего образования в России и СССР между </w:t>
      </w:r>
      <w:r w:rsidRPr="00D74402">
        <w:rPr>
          <w:sz w:val="28"/>
          <w:szCs w:val="28"/>
        </w:rPr>
        <w:lastRenderedPageBreak/>
        <w:t>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lastRenderedPageBreak/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37394B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37394B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37394B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B2134C">
        <w:rPr>
          <w:sz w:val="28"/>
          <w:szCs w:val="28"/>
        </w:rPr>
        <w:t>5.7.1 «Онтология и теория познания»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4B" w:rsidRDefault="0037394B" w:rsidP="00E76C7A">
      <w:r>
        <w:separator/>
      </w:r>
    </w:p>
  </w:endnote>
  <w:endnote w:type="continuationSeparator" w:id="0">
    <w:p w:rsidR="0037394B" w:rsidRDefault="0037394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4B" w:rsidRDefault="0037394B" w:rsidP="00E76C7A">
      <w:r>
        <w:separator/>
      </w:r>
    </w:p>
  </w:footnote>
  <w:footnote w:type="continuationSeparator" w:id="0">
    <w:p w:rsidR="0037394B" w:rsidRDefault="0037394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2E0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011E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394B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A89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134C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1E28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228E3-037D-4C8B-8EFB-C3AE4C42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2021-12-14T19:17:00Z</dcterms:created>
  <dcterms:modified xsi:type="dcterms:W3CDTF">2021-12-14T19:17:00Z</dcterms:modified>
</cp:coreProperties>
</file>