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DF7E90" w:rsidRPr="000A1513">
        <w:trPr>
          <w:cantSplit/>
          <w:trHeight w:val="180"/>
        </w:trPr>
        <w:tc>
          <w:tcPr>
            <w:tcW w:w="5000" w:type="pct"/>
          </w:tcPr>
          <w:p w:rsidR="00DF7E90" w:rsidRDefault="00DF7E90" w:rsidP="00DF7E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t xml:space="preserve"> </w:t>
            </w:r>
            <w:r w:rsidR="00E7465C">
              <w:rPr>
                <w:noProof/>
              </w:rPr>
              <w:drawing>
                <wp:inline distT="0" distB="0" distL="0" distR="0" wp14:anchorId="30953FC4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E90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DF7E90" w:rsidRDefault="00DF7E90" w:rsidP="00DF7E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F7E90" w:rsidRDefault="00DF7E90" w:rsidP="00DF7E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F7E90" w:rsidRDefault="00DF7E90" w:rsidP="00DF7E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F7E90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DF7E90" w:rsidRDefault="00DF7E90" w:rsidP="00DF7E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F7E90" w:rsidRDefault="00DF7E90" w:rsidP="00DF7E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F7E90" w:rsidRDefault="00DF7E90" w:rsidP="00DF7E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F7E90" w:rsidRDefault="00DF7E90" w:rsidP="00DF7E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F7E90" w:rsidRDefault="00E7465C" w:rsidP="00DF7E90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72B7BCA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D4696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F7E90" w:rsidRPr="005560D3" w:rsidTr="00DF7E90">
        <w:tc>
          <w:tcPr>
            <w:tcW w:w="2500" w:type="pct"/>
          </w:tcPr>
          <w:p w:rsidR="00DF7E90" w:rsidRPr="00B0472C" w:rsidRDefault="00DF7E9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F7E90" w:rsidRPr="005560D3" w:rsidRDefault="00DF7E9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DF7E90" w:rsidRPr="005560D3" w:rsidRDefault="00DF7E9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DF7E90" w:rsidRPr="00DF7E90" w:rsidRDefault="00DF7E9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 w:rsidRPr="00AA2174">
              <w:t xml:space="preserve"> </w:t>
            </w:r>
            <w:r>
              <w:t>Н.И. Прокопов</w:t>
            </w:r>
          </w:p>
          <w:p w:rsidR="00DF7E90" w:rsidRPr="005560D3" w:rsidRDefault="00DF7E90" w:rsidP="005D3F37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5D3F37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AE640F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Образование и педагогические</w:t>
      </w:r>
      <w:r w:rsidR="00B90DE1">
        <w:rPr>
          <w:rFonts w:eastAsia="HiddenHorzOCR"/>
          <w:b/>
        </w:rPr>
        <w:t xml:space="preserve">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D3F37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5D3F37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D3F37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AE640F">
        <w:rPr>
          <w:sz w:val="28"/>
          <w:szCs w:val="28"/>
        </w:rPr>
        <w:t>44</w:t>
      </w:r>
      <w:r w:rsidR="009500CA" w:rsidRPr="000C0588">
        <w:rPr>
          <w:sz w:val="28"/>
          <w:szCs w:val="28"/>
        </w:rPr>
        <w:t>.06.01 «</w:t>
      </w:r>
      <w:r w:rsidR="00AE640F">
        <w:rPr>
          <w:sz w:val="28"/>
          <w:szCs w:val="28"/>
        </w:rPr>
        <w:t>Образование и педагогические</w:t>
      </w:r>
      <w:r w:rsidR="00B90DE1">
        <w:rPr>
          <w:sz w:val="28"/>
          <w:szCs w:val="28"/>
        </w:rPr>
        <w:t xml:space="preserve">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5D3F37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9500CA" w:rsidRPr="000C0588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Pr="000C0588">
        <w:rPr>
          <w:sz w:val="28"/>
          <w:szCs w:val="28"/>
        </w:rPr>
        <w:t>.06.01 «</w:t>
      </w:r>
      <w:r w:rsidR="00AE640F">
        <w:rPr>
          <w:sz w:val="28"/>
          <w:szCs w:val="28"/>
        </w:rPr>
        <w:t>Образование и педагогические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F7E90" w:rsidRDefault="00DF7E90" w:rsidP="00DF7E90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F7E90" w:rsidRDefault="00DF7E90" w:rsidP="00DF7E90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F7E90" w:rsidRDefault="00DF7E90" w:rsidP="00DF7E90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DF7E90" w:rsidRDefault="00DF7E90" w:rsidP="00DF7E90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Pr="00510FD8" w:rsidRDefault="00DF7E90" w:rsidP="00DF7E90">
            <w:pPr>
              <w:ind w:firstLine="0"/>
              <w:contextualSpacing/>
            </w:pPr>
            <w:r>
              <w:rPr>
                <w:b/>
              </w:rPr>
              <w:lastRenderedPageBreak/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Pr="00566281" w:rsidRDefault="00DF7E90" w:rsidP="00DF7E90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F7E90" w:rsidRPr="00C573B5" w:rsidRDefault="00DF7E90" w:rsidP="00DF7E9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Pr="00657EFA" w:rsidRDefault="00DF7E90" w:rsidP="00DF7E90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F7E90" w:rsidRPr="00C573B5" w:rsidRDefault="00DF7E90" w:rsidP="00DF7E9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Pr="00657EFA" w:rsidRDefault="00DF7E90" w:rsidP="00DF7E90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и методами педагогического исследования)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Владеть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Знать </w:t>
            </w:r>
            <w:r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t xml:space="preserve"> </w:t>
            </w:r>
            <w:proofErr w:type="spellStart"/>
            <w:r>
              <w:t>общелогическими</w:t>
            </w:r>
            <w:proofErr w:type="spellEnd"/>
            <w:r>
              <w:t xml:space="preserve">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ОПК-4 (</w:t>
            </w:r>
            <w:r>
              <w:rPr>
                <w:rFonts w:eastAsia="Calibri"/>
                <w:lang w:eastAsia="en-US"/>
              </w:rPr>
              <w:t>готовность организовать работу исследовательского коллектива в области педагогических наук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планирования научно-исследовательской деятельностью коллектива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>ОПК-5 (</w:t>
            </w:r>
            <w:r>
              <w:t>Способность моделировать, осуществлять и оценивать образовательный процесс и проектировать программы дополнительного профессио</w:t>
            </w:r>
            <w:r>
              <w:lastRenderedPageBreak/>
              <w:t>нального образования в соответствии с потребностями работодателя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анализировать, проектировать, осуществлять учебный процесс, педагогическую деятельность, анализировать </w:t>
            </w:r>
            <w:r>
              <w:lastRenderedPageBreak/>
              <w:t>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Уметь</w:t>
            </w:r>
            <w:r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softHyphen/>
              <w:t>ческих технологий;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ОПК-7 (</w:t>
            </w:r>
            <w:r>
              <w:t>способность проводить анализ образовательной деятельности организаций посредством экспертной оценки и проектировать программы их развития)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82FD3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82FD3" w:rsidRDefault="00882FD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shd w:val="clear" w:color="auto" w:fill="auto"/>
          </w:tcPr>
          <w:p w:rsidR="00882FD3" w:rsidRDefault="00882FD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882FD3" w:rsidRDefault="00882FD3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882FD3" w:rsidRDefault="00882FD3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5D3F37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</w:t>
      </w:r>
      <w:r w:rsidR="005D3F37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 xml:space="preserve">Всего в </w:t>
            </w:r>
            <w:r w:rsidR="00DF7E90">
              <w:t>6</w:t>
            </w:r>
            <w:r w:rsidRPr="00CE3E83">
              <w:t xml:space="preserve">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F7E90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DF7E90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DF7E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DF7E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</w:t>
      </w:r>
      <w:r w:rsidR="001127B4" w:rsidRPr="001127B4">
        <w:rPr>
          <w:sz w:val="28"/>
          <w:szCs w:val="28"/>
        </w:rPr>
        <w:lastRenderedPageBreak/>
        <w:t>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 xml:space="preserve">Научная </w:t>
      </w:r>
      <w:proofErr w:type="spellStart"/>
      <w:r w:rsidR="005D3F37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</w:t>
      </w:r>
      <w:r w:rsidR="00B0121C" w:rsidRPr="007E26EC">
        <w:rPr>
          <w:sz w:val="28"/>
          <w:szCs w:val="28"/>
        </w:rPr>
        <w:lastRenderedPageBreak/>
        <w:t xml:space="preserve">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DF7E90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Показатели</w:t>
            </w:r>
          </w:p>
          <w:p w:rsidR="00C31B6F" w:rsidRPr="00DA515E" w:rsidRDefault="00C31B6F" w:rsidP="00DF7E90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8D6289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8D6289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B3100A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B3100A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E7465C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E7465C">
              <w:rPr>
                <w:b/>
              </w:rPr>
              <w:t>2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</w:t>
            </w:r>
            <w:r>
              <w:lastRenderedPageBreak/>
              <w:t>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3E6D42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3E6D42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Pr="00660C7E" w:rsidRDefault="00E7465C" w:rsidP="00E7465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283BB3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9C5417" w:rsidRDefault="00E7465C" w:rsidP="00E7465C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7465C" w:rsidRPr="00B06A52" w:rsidTr="00D46EE4"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DA515E" w:rsidRDefault="00E7465C" w:rsidP="00E7465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7465C" w:rsidRPr="00B06A52" w:rsidTr="00D46EE4"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7003E1" w:rsidRDefault="00E7465C" w:rsidP="00E7465C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7465C" w:rsidRPr="00B06A52" w:rsidTr="00E7465C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525950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525950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4A4BE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4A4BE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t xml:space="preserve"> </w:t>
            </w:r>
            <w:proofErr w:type="spellStart"/>
            <w:r>
              <w:t>общелогическими</w:t>
            </w:r>
            <w:proofErr w:type="spellEnd"/>
            <w:r>
              <w:t xml:space="preserve">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4471C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4471C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планирования научно-исследовательской деятельностью коллектива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E051B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E051B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60447D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Умение</w:t>
            </w:r>
            <w:r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60447D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DC3A1E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DC3A1E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90DE1" w:rsidRPr="00B06A52" w:rsidTr="00966DFE">
        <w:trPr>
          <w:trHeight w:val="240"/>
        </w:trPr>
        <w:tc>
          <w:tcPr>
            <w:tcW w:w="1668" w:type="dxa"/>
          </w:tcPr>
          <w:p w:rsidR="00B90DE1" w:rsidRPr="00660C7E" w:rsidRDefault="00B90DE1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B90DE1" w:rsidRPr="00660C7E" w:rsidRDefault="00B90DE1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90DE1" w:rsidRPr="00882FD3" w:rsidRDefault="00882FD3" w:rsidP="00DF7E9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</w:t>
            </w:r>
          </w:p>
        </w:tc>
        <w:tc>
          <w:tcPr>
            <w:tcW w:w="1701" w:type="dxa"/>
          </w:tcPr>
          <w:p w:rsidR="00B90DE1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90DE1" w:rsidRPr="00545A9D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90DE1" w:rsidRPr="00D04E6B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90DE1" w:rsidRPr="00D04E6B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90DE1" w:rsidRPr="00545A9D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90DE1" w:rsidRPr="00545A9D" w:rsidRDefault="00DF7E90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90DE1" w:rsidRDefault="00B90DE1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7465C" w:rsidRDefault="00E7465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E7465C" w:rsidRDefault="00EA28F7" w:rsidP="00E7465C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7465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E7465C" w:rsidRDefault="00E7465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E7465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lastRenderedPageBreak/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</w:t>
            </w:r>
            <w:r w:rsidRPr="002478F3">
              <w:lastRenderedPageBreak/>
              <w:t>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Возможности и ограничения использования метода планомерного </w:t>
      </w:r>
      <w:r w:rsidRPr="00D74402">
        <w:rPr>
          <w:sz w:val="28"/>
          <w:szCs w:val="28"/>
        </w:rPr>
        <w:lastRenderedPageBreak/>
        <w:t>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</w:t>
            </w:r>
            <w:r>
              <w:rPr>
                <w:color w:val="000000" w:themeColor="text1"/>
              </w:rPr>
              <w:lastRenderedPageBreak/>
              <w:t>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</w:t>
            </w:r>
            <w:r>
              <w:rPr>
                <w:color w:val="000000" w:themeColor="text1"/>
              </w:rPr>
              <w:lastRenderedPageBreak/>
              <w:t>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</w:t>
            </w:r>
            <w:r>
              <w:rPr>
                <w:color w:val="000000" w:themeColor="text1"/>
              </w:rPr>
              <w:lastRenderedPageBreak/>
              <w:t>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</w:t>
      </w:r>
      <w:r w:rsidRPr="00317B25">
        <w:rPr>
          <w:sz w:val="28"/>
          <w:szCs w:val="28"/>
        </w:rPr>
        <w:lastRenderedPageBreak/>
        <w:t>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432CA" w:rsidRDefault="005432CA" w:rsidP="005432C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432CA" w:rsidRDefault="005432CA" w:rsidP="005432CA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432CA" w:rsidRDefault="005432CA" w:rsidP="005432CA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432CA" w:rsidRDefault="005432CA" w:rsidP="005432C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432CA" w:rsidRDefault="005432CA" w:rsidP="005432CA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432CA" w:rsidRDefault="005432CA" w:rsidP="005432CA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E7465C" w:rsidRPr="006E2658" w:rsidRDefault="00E7465C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C63AB" w:rsidRPr="00A60828" w:rsidRDefault="0076157F" w:rsidP="00EC63A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EC63A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EC63AB" w:rsidRPr="00A60828">
          <w:rPr>
            <w:rStyle w:val="a7"/>
            <w:color w:val="000000"/>
            <w:sz w:val="28"/>
            <w:szCs w:val="28"/>
          </w:rPr>
          <w:t>.</w:t>
        </w:r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EC63AB" w:rsidRPr="00A60828">
        <w:rPr>
          <w:color w:val="000000"/>
          <w:sz w:val="28"/>
          <w:szCs w:val="28"/>
        </w:rPr>
        <w:t xml:space="preserve">  Мир психологии</w:t>
      </w:r>
    </w:p>
    <w:p w:rsidR="00EC63AB" w:rsidRPr="00A60828" w:rsidRDefault="0076157F" w:rsidP="00EC63A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EC63AB" w:rsidRPr="00A60828">
          <w:rPr>
            <w:rStyle w:val="a7"/>
            <w:color w:val="000000"/>
            <w:sz w:val="28"/>
            <w:szCs w:val="28"/>
          </w:rPr>
          <w:t>://</w:t>
        </w:r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EC63A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EC63AB" w:rsidRPr="00A60828" w:rsidRDefault="0076157F" w:rsidP="00EC63A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EC63AB" w:rsidRPr="00A60828">
          <w:rPr>
            <w:sz w:val="28"/>
            <w:szCs w:val="28"/>
          </w:rPr>
          <w:t>http://flogiston.ru</w:t>
        </w:r>
      </w:hyperlink>
      <w:r w:rsidR="00EC63AB" w:rsidRPr="00A60828">
        <w:rPr>
          <w:sz w:val="28"/>
          <w:szCs w:val="28"/>
        </w:rPr>
        <w:t xml:space="preserve"> </w:t>
      </w:r>
      <w:r w:rsidR="00EC63AB">
        <w:rPr>
          <w:sz w:val="28"/>
          <w:szCs w:val="28"/>
        </w:rPr>
        <w:t>«</w:t>
      </w:r>
      <w:r w:rsidR="00EC63AB" w:rsidRPr="00A60828">
        <w:rPr>
          <w:sz w:val="28"/>
          <w:szCs w:val="28"/>
        </w:rPr>
        <w:t>Флог</w:t>
      </w:r>
      <w:r w:rsidR="00EC63AB">
        <w:rPr>
          <w:sz w:val="28"/>
          <w:szCs w:val="28"/>
        </w:rPr>
        <w:t>истон. Психология из первых рук».</w:t>
      </w:r>
      <w:r w:rsidR="00EC63A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EC63AB" w:rsidRDefault="00EC63AB" w:rsidP="00EC63A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C63AB" w:rsidRDefault="0076157F" w:rsidP="00EC63A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EC63AB">
          <w:rPr>
            <w:rStyle w:val="a7"/>
            <w:sz w:val="28"/>
            <w:szCs w:val="28"/>
            <w:lang w:val="en-US"/>
          </w:rPr>
          <w:t>http</w:t>
        </w:r>
        <w:r w:rsidR="00EC63AB">
          <w:rPr>
            <w:rStyle w:val="a7"/>
            <w:sz w:val="28"/>
            <w:szCs w:val="28"/>
          </w:rPr>
          <w:t>://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ru</w:t>
        </w:r>
        <w:proofErr w:type="spellEnd"/>
        <w:r w:rsidR="00EC63AB">
          <w:rPr>
            <w:rStyle w:val="a7"/>
            <w:sz w:val="28"/>
            <w:szCs w:val="28"/>
          </w:rPr>
          <w:t>/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EC63A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EC63AB">
        <w:rPr>
          <w:sz w:val="28"/>
          <w:szCs w:val="28"/>
        </w:rPr>
        <w:t>общест</w:t>
      </w:r>
      <w:proofErr w:type="spellEnd"/>
      <w:r w:rsidR="00EC63AB">
        <w:rPr>
          <w:sz w:val="28"/>
          <w:szCs w:val="28"/>
        </w:rPr>
        <w:t>.-</w:t>
      </w:r>
      <w:proofErr w:type="spellStart"/>
      <w:r w:rsidR="00EC63AB">
        <w:rPr>
          <w:sz w:val="28"/>
          <w:szCs w:val="28"/>
        </w:rPr>
        <w:t>научн</w:t>
      </w:r>
      <w:proofErr w:type="spellEnd"/>
      <w:r w:rsidR="00EC63A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EC63AB" w:rsidRDefault="0076157F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EC63A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EC63A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EC63AB" w:rsidRDefault="0076157F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EC63A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EC63AB">
        <w:rPr>
          <w:rFonts w:eastAsia="Calibri"/>
          <w:b/>
          <w:sz w:val="28"/>
          <w:szCs w:val="28"/>
          <w:lang w:eastAsia="en-US"/>
        </w:rPr>
        <w:t xml:space="preserve"> </w:t>
      </w:r>
      <w:r w:rsidR="00EC63A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lastRenderedPageBreak/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EC63AB" w:rsidRDefault="00EC63A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7465C" w:rsidRPr="00D74402" w:rsidRDefault="00E7465C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</w:t>
      </w:r>
      <w:bookmarkStart w:id="1" w:name="_GoBack"/>
      <w:bookmarkEnd w:id="1"/>
      <w:r w:rsidR="005D3F37">
        <w:rPr>
          <w:sz w:val="28"/>
          <w:szCs w:val="28"/>
        </w:rPr>
        <w:t>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1D" w:rsidRDefault="00B8221D" w:rsidP="00E76C7A">
      <w:r>
        <w:separator/>
      </w:r>
    </w:p>
  </w:endnote>
  <w:endnote w:type="continuationSeparator" w:id="0">
    <w:p w:rsidR="00B8221D" w:rsidRDefault="00B8221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1D" w:rsidRDefault="00B8221D" w:rsidP="00E76C7A">
      <w:r>
        <w:separator/>
      </w:r>
    </w:p>
  </w:footnote>
  <w:footnote w:type="continuationSeparator" w:id="0">
    <w:p w:rsidR="00B8221D" w:rsidRDefault="00B8221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90" w:rsidRPr="00675078" w:rsidRDefault="00DF7E90" w:rsidP="00DF7E9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32CA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3F37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68CB"/>
    <w:rsid w:val="009B74CD"/>
    <w:rsid w:val="009B7F55"/>
    <w:rsid w:val="009C28BE"/>
    <w:rsid w:val="009D0889"/>
    <w:rsid w:val="009D3845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174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221D"/>
    <w:rsid w:val="00B8382B"/>
    <w:rsid w:val="00B83B64"/>
    <w:rsid w:val="00B8435A"/>
    <w:rsid w:val="00B86D91"/>
    <w:rsid w:val="00B90DE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693D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07A8B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DF7E90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305F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465C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3AB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4CEDCE"/>
  <w15:docId w15:val="{3423A8B9-89E9-4F17-9DF9-EFC1571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432C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54902-9B60-4FAA-B1D4-E82FDE5B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6324</Words>
  <Characters>49547</Characters>
  <Application>Microsoft Office Word</Application>
  <DocSecurity>0</DocSecurity>
  <Lines>412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2018-03-23T08:15:00Z</cp:lastPrinted>
  <dcterms:created xsi:type="dcterms:W3CDTF">2021-12-15T12:23:00Z</dcterms:created>
  <dcterms:modified xsi:type="dcterms:W3CDTF">2021-12-15T12:23:00Z</dcterms:modified>
</cp:coreProperties>
</file>