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E0B2C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B150E4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5.1.2 «Публично-правовые (государственно-правовые)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D43190" w:rsidRPr="00D4319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планировать и решать задачи собственного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</w:t>
            </w:r>
            <w:r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</w:t>
            </w:r>
            <w:r w:rsidR="00B150E4" w:rsidRPr="00B150E4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 xml:space="preserve">огию исследований в области </w:t>
            </w:r>
            <w:r w:rsidR="00B150E4">
              <w:t>публично-правовых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 xml:space="preserve">в области </w:t>
            </w:r>
            <w:r w:rsidR="00B150E4">
              <w:t>государственно-публичных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 w:rsidR="00B150E4" w:rsidRPr="00B150E4">
              <w:t>применять современные научные методы</w:t>
            </w:r>
            <w:r w:rsidR="00B150E4">
              <w:t xml:space="preserve"> </w:t>
            </w:r>
            <w:r w:rsidR="00B150E4" w:rsidRPr="00B150E4">
              <w:t>исследования, обосновывать доктринальные концепции, предлагать</w:t>
            </w:r>
            <w:r w:rsidR="00B150E4">
              <w:t xml:space="preserve"> </w:t>
            </w:r>
            <w:r w:rsidR="00B150E4" w:rsidRPr="00B150E4">
              <w:t>исследовательские программы в сфере административного права и</w:t>
            </w:r>
            <w:r w:rsidR="00B150E4">
              <w:t xml:space="preserve"> </w:t>
            </w:r>
            <w:r w:rsidR="00B150E4" w:rsidRPr="00B150E4">
              <w:t>административного процесса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 w:rsidR="00B150E4" w:rsidRPr="00B150E4">
              <w:t>спосо</w:t>
            </w:r>
            <w:r w:rsidR="00B150E4" w:rsidRPr="00B150E4">
              <w:t>бно</w:t>
            </w:r>
            <w:r w:rsidR="00B150E4" w:rsidRPr="00B150E4">
              <w:t>стью</w:t>
            </w:r>
            <w:r w:rsidR="00B150E4" w:rsidRPr="00B150E4">
              <w:t xml:space="preserve"> выявляться теоретические и практические проблемы</w:t>
            </w:r>
            <w:r w:rsidR="00B150E4">
              <w:t xml:space="preserve"> </w:t>
            </w:r>
            <w:r w:rsidR="00B150E4" w:rsidRPr="00B150E4">
              <w:t>и предлагать доктринально обоснованные их решения в сфере</w:t>
            </w:r>
            <w:r w:rsidR="00B150E4">
              <w:t xml:space="preserve"> </w:t>
            </w:r>
            <w:r w:rsidR="00B150E4" w:rsidRPr="00B150E4">
              <w:t>административного права и административного процесса</w:t>
            </w:r>
            <w:r>
              <w:t xml:space="preserve">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 xml:space="preserve">ам </w:t>
      </w:r>
      <w:r>
        <w:rPr>
          <w:sz w:val="28"/>
          <w:szCs w:val="28"/>
        </w:rPr>
        <w:lastRenderedPageBreak/>
        <w:t>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lastRenderedPageBreak/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lastRenderedPageBreak/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</w:t>
            </w:r>
            <w:r w:rsidRPr="001A50AC">
              <w:lastRenderedPageBreak/>
              <w:t>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и педагогика: Учеб. Пособие для вузов: [В 2 ч.] / Е. И. Артамонова, В. Д. Путилин, Л. С. Нерсесян. — М.: МАНПО, 201</w:t>
      </w:r>
      <w:bookmarkStart w:id="1" w:name="_GoBack"/>
      <w:bookmarkEnd w:id="1"/>
      <w:r>
        <w:rPr>
          <w:sz w:val="28"/>
          <w:szCs w:val="28"/>
        </w:rPr>
        <w:t xml:space="preserve">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D1CCE">
        <w:rPr>
          <w:color w:val="111111"/>
          <w:spacing w:val="-4"/>
          <w:sz w:val="28"/>
          <w:szCs w:val="28"/>
        </w:rPr>
        <w:t>Кубан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0D1CCE">
        <w:rPr>
          <w:color w:val="111111"/>
          <w:spacing w:val="-4"/>
          <w:sz w:val="28"/>
          <w:szCs w:val="28"/>
        </w:rPr>
        <w:t>аграр</w:t>
      </w:r>
      <w:proofErr w:type="spellEnd"/>
      <w:r w:rsidRPr="000D1CCE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Возможности общения: методы воздействия</w:t>
      </w:r>
      <w:r w:rsidRPr="000D1CCE">
        <w:rPr>
          <w:spacing w:val="-4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0D1CCE">
        <w:rPr>
          <w:spacing w:val="-4"/>
          <w:sz w:val="28"/>
          <w:szCs w:val="28"/>
          <w:shd w:val="clear" w:color="auto" w:fill="FFFFFF"/>
        </w:rPr>
        <w:t>Надточий</w:t>
      </w:r>
      <w:proofErr w:type="spellEnd"/>
      <w:r w:rsidRPr="000D1CCE">
        <w:rPr>
          <w:spacing w:val="-4"/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 Ф.В. Основы научных исследований / Ф.В. </w:t>
      </w: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>, В.Р. Каргин. – Самара: Изд-во СГАУ, 2015. – 111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proofErr w:type="spellStart"/>
      <w:r w:rsidRPr="000D1CCE">
        <w:rPr>
          <w:spacing w:val="-4"/>
          <w:sz w:val="28"/>
          <w:szCs w:val="28"/>
        </w:rPr>
        <w:t>Кожухар</w:t>
      </w:r>
      <w:proofErr w:type="spellEnd"/>
      <w:r w:rsidRPr="000D1CCE">
        <w:rPr>
          <w:spacing w:val="-4"/>
          <w:sz w:val="28"/>
          <w:szCs w:val="28"/>
        </w:rPr>
        <w:t xml:space="preserve"> В. М. Основы научных исследований: Учебное пособие. </w:t>
      </w:r>
      <w:r w:rsidRPr="000D1CCE">
        <w:rPr>
          <w:color w:val="111111"/>
          <w:spacing w:val="-4"/>
          <w:sz w:val="28"/>
          <w:szCs w:val="28"/>
        </w:rPr>
        <w:t xml:space="preserve">– </w:t>
      </w:r>
      <w:r w:rsidRPr="000D1CCE">
        <w:rPr>
          <w:spacing w:val="-4"/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0D1CCE">
        <w:rPr>
          <w:spacing w:val="-4"/>
          <w:sz w:val="28"/>
          <w:szCs w:val="28"/>
        </w:rPr>
        <w:t>К</w:t>
      </w:r>
      <w:proofErr w:type="gramEnd"/>
      <w:r w:rsidRPr="000D1CCE">
        <w:rPr>
          <w:spacing w:val="-4"/>
          <w:sz w:val="28"/>
          <w:szCs w:val="28"/>
        </w:rPr>
        <w:t>°», 2010. — 216 с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Основы психологии и педагогики</w:t>
      </w:r>
      <w:r w:rsidRPr="000D1CCE">
        <w:rPr>
          <w:spacing w:val="-4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0D1CCE">
        <w:rPr>
          <w:spacing w:val="-4"/>
          <w:sz w:val="28"/>
          <w:szCs w:val="28"/>
        </w:rPr>
        <w:t xml:space="preserve"> (МИРЭА </w:t>
      </w:r>
      <w:r w:rsidRPr="000D1CCE">
        <w:rPr>
          <w:spacing w:val="-4"/>
          <w:sz w:val="28"/>
          <w:szCs w:val="28"/>
          <w:shd w:val="clear" w:color="auto" w:fill="FFFFFF"/>
        </w:rPr>
        <w:t>15 Е92)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Педагогика высшей школы</w:t>
      </w:r>
      <w:r w:rsidRPr="000D1CCE">
        <w:rPr>
          <w:spacing w:val="-4"/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0D1CCE">
        <w:rPr>
          <w:spacing w:val="-4"/>
          <w:sz w:val="28"/>
          <w:szCs w:val="28"/>
        </w:rPr>
        <w:t>Чернилевский</w:t>
      </w:r>
      <w:proofErr w:type="spellEnd"/>
      <w:r w:rsidRPr="000D1CCE">
        <w:rPr>
          <w:spacing w:val="-4"/>
          <w:sz w:val="28"/>
          <w:szCs w:val="28"/>
        </w:rPr>
        <w:t>. — М.: МАНПО, 2012. — 248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 w:rsidRPr="000D1CCE">
        <w:rPr>
          <w:color w:val="111111"/>
          <w:spacing w:val="-4"/>
          <w:sz w:val="28"/>
          <w:szCs w:val="28"/>
        </w:rPr>
        <w:t>Пикулева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– Пермь, Изд-во </w:t>
      </w:r>
      <w:proofErr w:type="spellStart"/>
      <w:r w:rsidRPr="000D1CCE">
        <w:rPr>
          <w:color w:val="111111"/>
          <w:spacing w:val="-4"/>
          <w:sz w:val="28"/>
          <w:szCs w:val="28"/>
        </w:rPr>
        <w:t>Перм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нац. </w:t>
      </w:r>
      <w:proofErr w:type="spellStart"/>
      <w:r w:rsidRPr="000D1CCE">
        <w:rPr>
          <w:color w:val="111111"/>
          <w:spacing w:val="-4"/>
          <w:sz w:val="28"/>
          <w:szCs w:val="28"/>
        </w:rPr>
        <w:t>исслед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</w:t>
      </w:r>
      <w:proofErr w:type="spellStart"/>
      <w:r w:rsidRPr="000D1CCE">
        <w:rPr>
          <w:color w:val="111111"/>
          <w:spacing w:val="-4"/>
          <w:sz w:val="28"/>
          <w:szCs w:val="28"/>
        </w:rPr>
        <w:t>политехн</w:t>
      </w:r>
      <w:proofErr w:type="spellEnd"/>
      <w:r w:rsidRPr="000D1CCE">
        <w:rPr>
          <w:color w:val="111111"/>
          <w:spacing w:val="-4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Психология</w:t>
      </w:r>
      <w:r>
        <w:rPr>
          <w:bCs/>
          <w:sz w:val="28"/>
          <w:szCs w:val="28"/>
        </w:rPr>
        <w:t xml:space="preserve">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1A" w:rsidRDefault="002E0A1A" w:rsidP="00E76C7A">
      <w:r>
        <w:separator/>
      </w:r>
    </w:p>
  </w:endnote>
  <w:endnote w:type="continuationSeparator" w:id="0">
    <w:p w:rsidR="002E0A1A" w:rsidRDefault="002E0A1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1A" w:rsidRDefault="002E0A1A" w:rsidP="00E76C7A">
      <w:r>
        <w:separator/>
      </w:r>
    </w:p>
  </w:footnote>
  <w:footnote w:type="continuationSeparator" w:id="0">
    <w:p w:rsidR="002E0A1A" w:rsidRDefault="002E0A1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01E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CCE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0A1A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45EF3"/>
    <w:rsid w:val="00450252"/>
    <w:rsid w:val="00450748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0641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50E4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F735-6F17-48B9-958A-256AC03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2018-03-23T06:54:00Z</cp:lastPrinted>
  <dcterms:created xsi:type="dcterms:W3CDTF">2021-12-18T18:50:00Z</dcterms:created>
  <dcterms:modified xsi:type="dcterms:W3CDTF">2021-12-18T18:50:00Z</dcterms:modified>
</cp:coreProperties>
</file>