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7"/>
        <w:gridCol w:w="1857"/>
        <w:gridCol w:w="3518"/>
        <w:gridCol w:w="537"/>
      </w:tblGrid>
      <w:tr w:rsidR="00A830DA">
        <w:trPr>
          <w:trHeight w:hRule="exact" w:val="1805"/>
        </w:trPr>
        <w:tc>
          <w:tcPr>
            <w:tcW w:w="3828" w:type="dxa"/>
          </w:tcPr>
          <w:p w:rsidR="00A830DA" w:rsidRDefault="00A830DA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A830DA" w:rsidRDefault="0047530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A830DA" w:rsidRDefault="00A830DA"/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0DA" w:rsidRDefault="004753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A830DA" w:rsidRDefault="004753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A830DA" w:rsidRDefault="004753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A830DA" w:rsidRDefault="004753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A830DA">
        <w:trPr>
          <w:trHeight w:hRule="exact" w:val="277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45" w:type="dxa"/>
          </w:tcPr>
          <w:p w:rsidR="00A830DA" w:rsidRDefault="00A830DA"/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416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416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555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0DA" w:rsidRDefault="00475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416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830DA" w:rsidRDefault="00475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555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A830DA" w:rsidRDefault="00A830DA"/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277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45" w:type="dxa"/>
          </w:tcPr>
          <w:p w:rsidR="00A830DA" w:rsidRDefault="00A830DA"/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30DA" w:rsidRDefault="0047530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A830DA" w:rsidRDefault="0047530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A830DA">
        <w:trPr>
          <w:trHeight w:hRule="exact" w:val="277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45" w:type="dxa"/>
          </w:tcPr>
          <w:p w:rsidR="00A830DA" w:rsidRDefault="00A830DA"/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38.04.04 Государственное и муниципальное управление</w:t>
            </w:r>
          </w:p>
        </w:tc>
      </w:tr>
      <w:tr w:rsidR="00A830DA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Государственное и муниципальное администрирование</w:t>
            </w:r>
          </w:p>
        </w:tc>
      </w:tr>
      <w:tr w:rsidR="00A830D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A830DA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A830DA">
        <w:trPr>
          <w:trHeight w:hRule="exact" w:val="4109"/>
        </w:trPr>
        <w:tc>
          <w:tcPr>
            <w:tcW w:w="3828" w:type="dxa"/>
          </w:tcPr>
          <w:p w:rsidR="00A830DA" w:rsidRDefault="00A830DA"/>
        </w:tc>
        <w:tc>
          <w:tcPr>
            <w:tcW w:w="1702" w:type="dxa"/>
          </w:tcPr>
          <w:p w:rsidR="00A830DA" w:rsidRDefault="00A830DA"/>
        </w:tc>
        <w:tc>
          <w:tcPr>
            <w:tcW w:w="3545" w:type="dxa"/>
          </w:tcPr>
          <w:p w:rsidR="00A830DA" w:rsidRDefault="00A830DA"/>
        </w:tc>
        <w:tc>
          <w:tcPr>
            <w:tcW w:w="568" w:type="dxa"/>
          </w:tcPr>
          <w:p w:rsidR="00A830DA" w:rsidRDefault="00A830DA"/>
        </w:tc>
      </w:tr>
      <w:tr w:rsidR="00A830DA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830DA" w:rsidRDefault="00475309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A830DA" w:rsidRDefault="0047530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9370"/>
      </w:tblGrid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38.04.04</w:t>
            </w:r>
            <w:r>
              <w:t xml:space="preserve"> </w:t>
            </w:r>
            <w:r>
              <w:rPr>
                <w:color w:val="000000"/>
                <w:szCs w:val="28"/>
              </w:rPr>
              <w:t>Государственное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муниципальное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управление.</w:t>
            </w:r>
            <w:r>
              <w:t xml:space="preserve"> 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A830DA" w:rsidTr="004753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декабря 2012 г. № </w:t>
            </w:r>
            <w:r>
              <w:rPr>
                <w:color w:val="000000"/>
                <w:szCs w:val="28"/>
              </w:rPr>
              <w:t>273-ФЗ;</w:t>
            </w:r>
          </w:p>
        </w:tc>
      </w:tr>
      <w:tr w:rsidR="00A830DA" w:rsidTr="004753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38.04.04 Государственное и муниципальное управление, утвержденный приказом Министерства образования и науки Российской Федерации от 13 а</w:t>
            </w:r>
            <w:r>
              <w:rPr>
                <w:color w:val="000000"/>
                <w:szCs w:val="28"/>
              </w:rPr>
              <w:t>вгуста 2020 года № 1000;</w:t>
            </w:r>
          </w:p>
        </w:tc>
      </w:tr>
      <w:tr w:rsidR="00A830DA" w:rsidTr="004753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</w:t>
            </w:r>
            <w:r>
              <w:rPr>
                <w:color w:val="000000"/>
                <w:szCs w:val="28"/>
              </w:rPr>
              <w:t>России от 5 апреля 2017 года № 301 (далее – Порядок организации образовательной деятельности);</w:t>
            </w:r>
          </w:p>
        </w:tc>
      </w:tr>
      <w:tr w:rsidR="00A830DA" w:rsidTr="004753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A830DA" w:rsidTr="00475309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Иные </w:t>
            </w:r>
            <w:r>
              <w:rPr>
                <w:color w:val="000000"/>
                <w:szCs w:val="28"/>
              </w:rPr>
              <w:t>нормативные правовые акты, регламентирующие общественные отношения в сфере образования.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</w:t>
            </w:r>
            <w:r>
              <w:rPr>
                <w:color w:val="000000"/>
                <w:szCs w:val="28"/>
              </w:rPr>
              <w:t xml:space="preserve">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</w:t>
            </w:r>
            <w:r>
              <w:rPr>
                <w:color w:val="000000"/>
                <w:szCs w:val="28"/>
              </w:rPr>
              <w:t xml:space="preserve"> государственной итоговой аттестации, составляет 2 года.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Сетевая </w:t>
            </w:r>
            <w:r>
              <w:rPr>
                <w:b/>
                <w:color w:val="000000"/>
                <w:szCs w:val="28"/>
              </w:rPr>
              <w:t>форма реализации программы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Образовательная деятельность по программе осуществляется на </w:t>
            </w:r>
            <w:r>
              <w:rPr>
                <w:color w:val="000000"/>
                <w:szCs w:val="28"/>
              </w:rPr>
              <w:t>государственном языке Российской Федерации – русском языке.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</w:t>
            </w:r>
            <w:r>
              <w:rPr>
                <w:color w:val="000000"/>
                <w:szCs w:val="28"/>
              </w:rPr>
              <w:t>фессиональную деятельность: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07 Административно-управленческая и офисная деятельность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политико-административный.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</w:t>
            </w:r>
            <w:r>
              <w:rPr>
                <w:color w:val="000000"/>
                <w:szCs w:val="28"/>
              </w:rPr>
              <w:t>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</w:t>
            </w:r>
            <w:r>
              <w:rPr>
                <w:color w:val="000000"/>
                <w:szCs w:val="28"/>
              </w:rPr>
              <w:t>ограммное обеспечение) указан в рабочих программах.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</w:t>
            </w:r>
            <w:r>
              <w:rPr>
                <w:color w:val="000000"/>
                <w:szCs w:val="28"/>
              </w:rPr>
              <w:t>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Реализация программы обеспечивается руководящими и </w:t>
            </w:r>
            <w:r>
              <w:rPr>
                <w:color w:val="000000"/>
                <w:szCs w:val="28"/>
              </w:rPr>
              <w:t>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</w:t>
            </w:r>
            <w:r>
              <w:rPr>
                <w:color w:val="000000"/>
                <w:szCs w:val="28"/>
              </w:rPr>
              <w:t>ганизацией к реализации программы магистратуры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</w:t>
            </w:r>
            <w:r>
              <w:rPr>
                <w:color w:val="000000"/>
                <w:szCs w:val="28"/>
              </w:rPr>
              <w:t>лины (модуля), составляет 70 процентов.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</w:t>
            </w:r>
            <w:r>
              <w:rPr>
                <w:color w:val="000000"/>
                <w:szCs w:val="28"/>
              </w:rPr>
              <w:t>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</w:t>
            </w:r>
            <w:r>
              <w:rPr>
                <w:color w:val="000000"/>
                <w:szCs w:val="28"/>
              </w:rPr>
              <w:t>0 процентов.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</w:t>
            </w:r>
            <w:r>
              <w:rPr>
                <w:color w:val="000000"/>
                <w:szCs w:val="28"/>
              </w:rPr>
              <w:t xml:space="preserve">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</w:t>
            </w:r>
            <w:r>
              <w:rPr>
                <w:color w:val="000000"/>
                <w:szCs w:val="28"/>
              </w:rPr>
              <w:t>профессиональной сфере не менее 3 лет), составляет 5 процентов.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</w:t>
            </w:r>
            <w:r>
              <w:rPr>
                <w:color w:val="000000"/>
                <w:szCs w:val="28"/>
              </w:rPr>
              <w:t xml:space="preserve">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</w:t>
            </w:r>
            <w:r>
              <w:rPr>
                <w:color w:val="000000"/>
                <w:szCs w:val="28"/>
              </w:rPr>
              <w:t>иональным стандартам (при наличии).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</w:t>
            </w:r>
            <w:r>
              <w:rPr>
                <w:color w:val="000000"/>
                <w:szCs w:val="28"/>
              </w:rPr>
              <w:t>ринга системы образования, утверждаемого Минобрнауки России.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A830DA" w:rsidTr="00475309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</w:t>
            </w:r>
            <w:r>
              <w:rPr>
                <w:color w:val="000000"/>
                <w:szCs w:val="28"/>
              </w:rPr>
              <w:t xml:space="preserve"> систему, выявляя её составляющие и связи между ними (УК-1.1)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</w:t>
            </w:r>
            <w:r>
              <w:rPr>
                <w:color w:val="000000"/>
                <w:szCs w:val="28"/>
              </w:rPr>
              <w:t>егию решения проблемной ситуации на основе системного и междисциплинарного подхода (УК-1.3)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поставленной проблемы проектную задачу и способ её решения через реализ</w:t>
            </w:r>
            <w:r>
              <w:rPr>
                <w:color w:val="000000"/>
                <w:szCs w:val="28"/>
              </w:rPr>
              <w:t>ацию проектного управления (УК-2.1)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</w:t>
            </w:r>
            <w:r>
              <w:rPr>
                <w:color w:val="000000"/>
                <w:szCs w:val="28"/>
              </w:rPr>
              <w:t>ректирует отклонения, вносит дополнительные изменения в план реализации проекта. (УК-2.3)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Вырабатывает стратегию командной </w:t>
            </w:r>
            <w:r>
              <w:rPr>
                <w:color w:val="000000"/>
                <w:szCs w:val="28"/>
              </w:rPr>
              <w:t>работы и на её основе организует отбор членов команд для достижения поставленной цели (УК- 3.1)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</w:t>
            </w:r>
            <w:r>
              <w:rPr>
                <w:color w:val="000000"/>
                <w:szCs w:val="28"/>
              </w:rPr>
              <w:t>ве учёта интереса всех сторон (УК-3.3)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деловую переписку для профессионального </w:t>
            </w:r>
            <w:r>
              <w:rPr>
                <w:color w:val="000000"/>
                <w:szCs w:val="28"/>
              </w:rPr>
              <w:t>взаимодействия в том числе на иностранном языке (УК-4.1)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анализировать и учитывать разнообразие культур в процессе межкультурного </w:t>
            </w:r>
            <w:r>
              <w:rPr>
                <w:color w:val="000000"/>
                <w:szCs w:val="28"/>
              </w:rPr>
              <w:t>взаимодействия (УК-5)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</w:t>
            </w:r>
            <w:r>
              <w:rPr>
                <w:color w:val="000000"/>
                <w:szCs w:val="28"/>
              </w:rPr>
              <w:t>альных групп (УК-5.2)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</w:t>
            </w:r>
            <w:r>
              <w:rPr>
                <w:color w:val="000000"/>
                <w:szCs w:val="28"/>
              </w:rPr>
              <w:t>ученного задания (УК-6.1)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 (в том числе профессиональной) деятельности па основе самооценки (УК-6.2)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</w:t>
            </w:r>
            <w:r>
              <w:rPr>
                <w:color w:val="000000"/>
                <w:szCs w:val="28"/>
              </w:rPr>
              <w:t>фере. (УК-6.3)</w:t>
            </w:r>
          </w:p>
        </w:tc>
      </w:tr>
      <w:tr w:rsidR="00A830DA" w:rsidTr="00475309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A830DA" w:rsidP="00475309">
            <w:pPr>
              <w:spacing w:after="0" w:line="360" w:lineRule="auto"/>
            </w:pP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соблюдение норм служебной этики и антикоррупционную направленность в деятельности органа власти; (ОПК-1)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Обеспечивает </w:t>
            </w:r>
            <w:r>
              <w:rPr>
                <w:color w:val="000000"/>
                <w:szCs w:val="28"/>
              </w:rPr>
              <w:t>соблюдение норм служебной этики (ОПК-1.1)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антикоррупционную направленность в деятельности органа власти (ОПК-1.2)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меры по противодействию коррупции в своей профессиональной деятельности (ОПК-1.3)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стратегическое</w:t>
            </w:r>
            <w:r>
              <w:rPr>
                <w:color w:val="000000"/>
                <w:szCs w:val="28"/>
              </w:rPr>
              <w:t xml:space="preserve">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 (ОПК-2)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стратегическое планировани</w:t>
            </w:r>
            <w:r>
              <w:rPr>
                <w:color w:val="000000"/>
                <w:szCs w:val="28"/>
              </w:rPr>
              <w:t>е деятельности органа власти (ОПК-2.1)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разработку и реализацию управленческих решений (ОПК-2.2)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Обеспечивает осуществление контрольно-надзорной деятельности на основе риск-ориентированного подхода (ОПК-2.3)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нормати</w:t>
            </w:r>
            <w:r>
              <w:rPr>
                <w:color w:val="000000"/>
                <w:szCs w:val="28"/>
              </w:rPr>
              <w:t>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 экономический прогноз последствий</w:t>
            </w:r>
            <w:r>
              <w:rPr>
                <w:color w:val="000000"/>
                <w:szCs w:val="28"/>
              </w:rPr>
              <w:t xml:space="preserve"> их применения и мониторинг правоприменительной практики; (ОПК-3)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осуществляет нормативно-правовое обеспечение соответствующей сферы профессиональной деятельности, мониторинг правоприменительной практики (ОПК-3.1)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экспертизу но</w:t>
            </w:r>
            <w:r>
              <w:rPr>
                <w:color w:val="000000"/>
                <w:szCs w:val="28"/>
              </w:rPr>
              <w:t>рмативных правовых актов, расчёт затрат на их реализацию и определение источников финансирования, осуществлять социально-экономический прогноз последствий их применения (ОПК-3.2)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внедрение современных информационно- коммуникационных</w:t>
            </w:r>
            <w:r>
              <w:rPr>
                <w:color w:val="000000"/>
                <w:szCs w:val="28"/>
              </w:rPr>
              <w:t xml:space="preserve"> технологий в соответствующей сфере профессиональной деятельности и обеспечивать информационную открытость деятельности органа власти; (ОПК-4)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информационно-коммуникационных технологии в сфере своей профессиональной деятельности (ОПК-4.1)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Организовывает внедрение современных информационно- коммуникационных технологий в соответствующей сфере профессиональной деятельности (ОПК-4.2)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Обеспечивает информационную открытость деятельности органа власти (ОПК-4.3)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обеспечивать рациональное</w:t>
            </w:r>
            <w:r>
              <w:rPr>
                <w:color w:val="000000"/>
                <w:szCs w:val="28"/>
              </w:rPr>
              <w:t xml:space="preserve"> и целевое использование государственных и муниципальных ресурсов, эффективность бюджетных расходов и управления имуществом; (ОПК-5)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Обеспечивает рациональное и целевое использование государственных и муниципальных ресурсов (ОПК-5.1)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эффектив</w:t>
            </w:r>
            <w:r>
              <w:rPr>
                <w:color w:val="000000"/>
                <w:szCs w:val="28"/>
              </w:rPr>
              <w:t>ность бюджетных расходов (ОПК-5.2)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управление имуществом (ОПК-5.3)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проектную деятельность; моделировать административные процессы и процедуры в органах власти; (ОПК-6)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проектную деятельность (ОПК-6.1)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моделирование административных процессов в органах власти (ОПК-6.2)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моделирование административных процедур в органах власти (ОПК-6.3)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научно-исследовательскую, экспертно- аналитическую и педагогическую </w:t>
            </w:r>
            <w:r>
              <w:rPr>
                <w:color w:val="000000"/>
                <w:szCs w:val="28"/>
              </w:rPr>
              <w:t>деятельность в профессиональной сфере; (ОПК-7)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научно-исследовательскую деятельность в профессиональной сфере (ОПК-7.1)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экспертно- аналитическую деятельность в профессиональной сфере (ОПК-7.2)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педагогическую дея</w:t>
            </w:r>
            <w:r>
              <w:rPr>
                <w:color w:val="000000"/>
                <w:szCs w:val="28"/>
              </w:rPr>
              <w:t>тельность в профессиональной сфере (ОПК-7.3)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</w:t>
            </w:r>
            <w:r>
              <w:rPr>
                <w:color w:val="000000"/>
                <w:szCs w:val="28"/>
              </w:rPr>
              <w:t>ества, средствами массовой информации. (ОПК-8)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внутренние и межведомственные коммуникации (ОПК- 8.1)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Осуществляет взаимодействие органов государственной власти и местного самоуправления с гражданами, коммерческими организациями, институтами </w:t>
            </w:r>
            <w:r>
              <w:rPr>
                <w:color w:val="000000"/>
                <w:szCs w:val="28"/>
              </w:rPr>
              <w:t>гражданского общества, средствами массовой информации (ОПК-8.2)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при организации внутренних и межведомственных коммуникаций нормы служебной этики (ОПК-8.3)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</w:t>
            </w:r>
            <w:r>
              <w:rPr>
                <w:color w:val="000000"/>
                <w:szCs w:val="28"/>
              </w:rPr>
              <w:t>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политико-административный</w:t>
            </w:r>
          </w:p>
        </w:tc>
      </w:tr>
      <w:tr w:rsidR="00A830DA" w:rsidTr="00475309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стратегические мероприятия государственной национальной политики, направленные на укрепление </w:t>
            </w:r>
            <w:r>
              <w:rPr>
                <w:color w:val="000000"/>
                <w:szCs w:val="28"/>
              </w:rPr>
              <w:t>общероссийской гражданской идентичности, сохранение этнокультурного многообразия народов России, межнационального (межэтнического) и межрелигиозного согласия (ПК-1) (Определена на основе анализа требований к профессиональным компетенциям, предъявляемых к в</w:t>
            </w:r>
            <w:r>
              <w:rPr>
                <w:color w:val="000000"/>
                <w:szCs w:val="28"/>
              </w:rPr>
              <w:t>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мероприятия по противодейст</w:t>
            </w:r>
            <w:r>
              <w:rPr>
                <w:color w:val="000000"/>
                <w:szCs w:val="28"/>
              </w:rPr>
              <w:t>вию напряженности в сфере национальных и/или религиозных отношений на уровне субъекта РФ (ПК-1.1)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Реализует мероприятия стратегического характера на уровне субъекта РФ, направленные на выявление предпосылок возникновения межнациональных и межрелигиозных </w:t>
            </w:r>
            <w:r>
              <w:rPr>
                <w:color w:val="000000"/>
                <w:szCs w:val="28"/>
              </w:rPr>
              <w:t>конфликтов (ПК-1.2)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взаимодействие с институтами гражданского общества с целью обеспечения межнационального (межэтнического) и межрелигиозного (межконфессионального) согласия, гармонизации межнациональных отношений, профилактики конфликтов н</w:t>
            </w:r>
            <w:r>
              <w:rPr>
                <w:color w:val="000000"/>
                <w:szCs w:val="28"/>
              </w:rPr>
              <w:t>а национальной и/или религиозной почве (ПК-1.3)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стратегические мероприятия государственной политики в области образования (ПК-2) (Определена на основе анализа требований к профессиональным компетенциям, предъявляемых к выпускникам на </w:t>
            </w:r>
            <w:r>
              <w:rPr>
                <w:color w:val="000000"/>
                <w:szCs w:val="28"/>
              </w:rPr>
              <w:t>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развития системы образования на уро</w:t>
            </w:r>
            <w:r>
              <w:rPr>
                <w:color w:val="000000"/>
                <w:szCs w:val="28"/>
              </w:rPr>
              <w:t>вне субъекта РФ (ПК-2.1)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мероприятия стратегического характера государственной политики в сфере образования на уровне субъекта РФ (ПК-2.2)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оценку эффективной деятельности организации системы образования (ПК-2.3)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</w:t>
            </w:r>
            <w:r>
              <w:rPr>
                <w:color w:val="000000"/>
                <w:szCs w:val="28"/>
              </w:rPr>
              <w:t>лять стратегические мероприятия государственной политики в области науки, регулирование научной, научно-технической и инновационной деятельности (ПК-3) (Определена на основе анализа требований к профессиональным компетенциям, предъявляемых к выпускникам на</w:t>
            </w:r>
            <w:r>
              <w:rPr>
                <w:color w:val="000000"/>
                <w:szCs w:val="28"/>
              </w:rPr>
              <w:t xml:space="preserve">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мероприятия государственной политики в о</w:t>
            </w:r>
            <w:r>
              <w:rPr>
                <w:color w:val="000000"/>
                <w:szCs w:val="28"/>
              </w:rPr>
              <w:t>бласти науки на уровне субъекта РФ (ПК-3.1)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мероприятия федеральных целевых программ в сфере научной, научно-технической и инновационной деятельности (ПК-3.2)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реализацию мероприятий межотраслевую координацию научной и (или) научн</w:t>
            </w:r>
            <w:r>
              <w:rPr>
                <w:color w:val="000000"/>
                <w:szCs w:val="28"/>
              </w:rPr>
              <w:t>о-технической деятельности (ПК-3.3)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стратегические мероприятия государственной молодежной политики (ПК-4) (Определена на основе анализа требований к профессиональным компетенциям, предъявляемых к выпускникам на рынке труда, обобщения </w:t>
            </w:r>
            <w:r>
              <w:rPr>
                <w:color w:val="000000"/>
                <w:szCs w:val="28"/>
              </w:rPr>
              <w:t>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по реализации молодежных проектов и программ на уровне суб</w:t>
            </w:r>
            <w:r>
              <w:rPr>
                <w:color w:val="000000"/>
                <w:szCs w:val="28"/>
              </w:rPr>
              <w:t>ъекта РФ (ПК-4.1)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мероприятия стратегического характера государственной молодёжной политики на уровне субъекта РФ (ПК-4.2)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обеспечение участия российской молодежи и молодежных объединений в международных структурах, а также в раб</w:t>
            </w:r>
            <w:r>
              <w:rPr>
                <w:color w:val="000000"/>
                <w:szCs w:val="28"/>
              </w:rPr>
              <w:t>оте международных форумов, конференций и фестивалей (ПК-4.3)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стратегические мероприятия в области регулирования здравоохранения и санитарно-эпидемиологического благополучия (ПК-5) (Определена на основе анализа требований к профессиона</w:t>
            </w:r>
            <w:r>
              <w:rPr>
                <w:color w:val="000000"/>
                <w:szCs w:val="28"/>
              </w:rPr>
              <w:t>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</w:t>
            </w:r>
            <w:r>
              <w:rPr>
                <w:color w:val="000000"/>
                <w:szCs w:val="28"/>
              </w:rPr>
              <w:t>абатывает способы организации и контроля деятельности организаций в сфере здравоохранения на уровне субъекта РФ (ПК-5.1)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Реализует мероприятия стратегического характера государственной политики в сфере здравоохранения на уровне субъекта РФ (ПК-5.2)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</w:t>
            </w:r>
            <w:r>
              <w:rPr>
                <w:color w:val="000000"/>
                <w:szCs w:val="28"/>
              </w:rPr>
              <w:t>ществляет проверки юридических лиц и индивидуальных предпринимателей в части государственного контроля в сфере здравоохранения (ПК-5.3)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стратегические мероприятия государственной и муниципальной социальной политики, регулирование в сф</w:t>
            </w:r>
            <w:r>
              <w:rPr>
                <w:color w:val="000000"/>
                <w:szCs w:val="28"/>
              </w:rPr>
              <w:t>ере труда и социального развития (ПК-6)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</w:t>
            </w:r>
            <w:r>
              <w:rPr>
                <w:color w:val="000000"/>
                <w:szCs w:val="28"/>
              </w:rPr>
              <w:t>бъединениями работодателей отрасли, в которой востребованы выпускники, иных источников)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по направлениям государственной политики в сфере занятости, охраны труда и социальной защиты населения на уровне субъекта РФ (ПК-6.1)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Реализует </w:t>
            </w:r>
            <w:r>
              <w:rPr>
                <w:color w:val="000000"/>
                <w:szCs w:val="28"/>
              </w:rPr>
              <w:t>мероприятия стратегического характера государственной социальной политики на уровне субъекта РФ (ПК-6.2)</w:t>
            </w:r>
          </w:p>
          <w:p w:rsidR="00A830DA" w:rsidRDefault="00475309" w:rsidP="00475309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деятельность в области предоставления государственных и муниципальных услуг (ПК-6.3)</w:t>
            </w:r>
          </w:p>
        </w:tc>
      </w:tr>
    </w:tbl>
    <w:p w:rsidR="00A830DA" w:rsidRDefault="00A830DA"/>
    <w:sectPr w:rsidR="00A830DA" w:rsidSect="00A830DA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5309"/>
    <w:rsid w:val="00A830D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Алексей</cp:lastModifiedBy>
  <cp:revision>2</cp:revision>
  <dcterms:created xsi:type="dcterms:W3CDTF">2021-11-12T12:43:00Z</dcterms:created>
  <dcterms:modified xsi:type="dcterms:W3CDTF">2021-11-12T12:43:00Z</dcterms:modified>
</cp:coreProperties>
</file>