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6A4893">
        <w:trPr>
          <w:trHeight w:hRule="exact" w:val="1805"/>
        </w:trPr>
        <w:tc>
          <w:tcPr>
            <w:tcW w:w="3828" w:type="dxa"/>
          </w:tcPr>
          <w:p w:rsidR="006A4893" w:rsidRDefault="006A4893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6A4893" w:rsidRDefault="00906E4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6A4893" w:rsidRDefault="006A4893"/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893" w:rsidRDefault="00906E4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6A4893" w:rsidRDefault="00906E4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6A4893" w:rsidRDefault="00906E4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6A4893" w:rsidRDefault="00906E4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6A4893">
        <w:trPr>
          <w:trHeight w:hRule="exact" w:val="277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45" w:type="dxa"/>
          </w:tcPr>
          <w:p w:rsidR="006A4893" w:rsidRDefault="006A4893"/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416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416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555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893" w:rsidRDefault="00906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416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A4893" w:rsidRDefault="00906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555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6A4893" w:rsidRDefault="006A4893"/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277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45" w:type="dxa"/>
          </w:tcPr>
          <w:p w:rsidR="006A4893" w:rsidRDefault="006A4893"/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893" w:rsidRDefault="00906E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6A4893" w:rsidRDefault="00906E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6A4893">
        <w:trPr>
          <w:trHeight w:hRule="exact" w:val="277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45" w:type="dxa"/>
          </w:tcPr>
          <w:p w:rsidR="006A4893" w:rsidRDefault="006A4893"/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27.04.04 Управление в технических системах</w:t>
            </w:r>
          </w:p>
        </w:tc>
      </w:tr>
      <w:tr w:rsidR="006A4893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Системы управления летательными аппаратами и их элементы</w:t>
            </w:r>
          </w:p>
        </w:tc>
      </w:tr>
      <w:tr w:rsidR="006A489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6A489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6A4893">
        <w:trPr>
          <w:trHeight w:hRule="exact" w:val="4124"/>
        </w:trPr>
        <w:tc>
          <w:tcPr>
            <w:tcW w:w="3828" w:type="dxa"/>
          </w:tcPr>
          <w:p w:rsidR="006A4893" w:rsidRDefault="006A4893"/>
        </w:tc>
        <w:tc>
          <w:tcPr>
            <w:tcW w:w="1702" w:type="dxa"/>
          </w:tcPr>
          <w:p w:rsidR="006A4893" w:rsidRDefault="006A4893"/>
        </w:tc>
        <w:tc>
          <w:tcPr>
            <w:tcW w:w="3545" w:type="dxa"/>
          </w:tcPr>
          <w:p w:rsidR="006A4893" w:rsidRDefault="006A4893"/>
        </w:tc>
        <w:tc>
          <w:tcPr>
            <w:tcW w:w="568" w:type="dxa"/>
          </w:tcPr>
          <w:p w:rsidR="006A4893" w:rsidRDefault="006A4893"/>
        </w:tc>
      </w:tr>
      <w:tr w:rsidR="006A4893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A4893" w:rsidRDefault="00906E4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6A4893" w:rsidRDefault="00906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27.04.04</w:t>
            </w:r>
            <w:r>
              <w:t xml:space="preserve"> </w:t>
            </w:r>
            <w:r>
              <w:rPr>
                <w:color w:val="000000"/>
                <w:szCs w:val="28"/>
              </w:rPr>
              <w:t>Управление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системах.</w:t>
            </w:r>
            <w:r>
              <w:t xml:space="preserve"> 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6A4893" w:rsidTr="00906E4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Федерации» от 29 декабря 2012 г. № </w:t>
            </w:r>
            <w:r>
              <w:rPr>
                <w:color w:val="000000"/>
                <w:szCs w:val="28"/>
              </w:rPr>
              <w:t>273-ФЗ;</w:t>
            </w:r>
          </w:p>
        </w:tc>
      </w:tr>
      <w:tr w:rsidR="006A4893" w:rsidTr="00906E4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27.04.04 Управление в технических системах, утвержденный приказом Министерства образования и науки Российской Федерации от 11 августа </w:t>
            </w:r>
            <w:r>
              <w:rPr>
                <w:color w:val="000000"/>
                <w:szCs w:val="28"/>
              </w:rPr>
              <w:t>2020 года № 942;</w:t>
            </w:r>
          </w:p>
        </w:tc>
      </w:tr>
      <w:tr w:rsidR="006A4893" w:rsidTr="00906E4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</w:t>
            </w:r>
            <w:r>
              <w:rPr>
                <w:color w:val="000000"/>
                <w:szCs w:val="28"/>
              </w:rPr>
              <w:t>5 апреля 2017 года № 301 (далее – Порядок организации образовательной деятельности);</w:t>
            </w:r>
          </w:p>
        </w:tc>
      </w:tr>
      <w:tr w:rsidR="006A4893" w:rsidTr="00906E4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25.015 Специалист по разработке системы управления полетами ракет-носителей и космических аппаратов</w:t>
            </w:r>
          </w:p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25.042 Инженер-к</w:t>
            </w:r>
            <w:r>
              <w:rPr>
                <w:color w:val="000000"/>
                <w:szCs w:val="28"/>
              </w:rPr>
              <w:t>онструктор по динамике полета и управлению летательным аппаратом в ракетно-космической промышленности</w:t>
            </w:r>
          </w:p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40.011 Специалист по научно- исследовательским и опытно-конструкторским разработкам;</w:t>
            </w:r>
          </w:p>
        </w:tc>
      </w:tr>
      <w:tr w:rsidR="006A4893" w:rsidTr="00906E4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</w:t>
            </w:r>
            <w:r>
              <w:rPr>
                <w:color w:val="000000"/>
                <w:szCs w:val="28"/>
              </w:rPr>
              <w:t>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6A4893" w:rsidTr="00906E4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</w:t>
            </w:r>
            <w:r>
              <w:rPr>
                <w:color w:val="000000"/>
                <w:szCs w:val="28"/>
              </w:rPr>
              <w:t xml:space="preserve">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</w:t>
            </w:r>
            <w:r>
              <w:rPr>
                <w:b/>
                <w:color w:val="000000"/>
                <w:szCs w:val="28"/>
              </w:rPr>
              <w:t>я по программе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ОПОП ВО не содержит сведений, составляющих </w:t>
            </w:r>
            <w:r>
              <w:rPr>
                <w:color w:val="000000"/>
                <w:szCs w:val="28"/>
              </w:rPr>
              <w:t>государственную тайну.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</w:t>
            </w:r>
            <w:r>
              <w:rPr>
                <w:color w:val="000000"/>
                <w:szCs w:val="28"/>
              </w:rPr>
              <w:t xml:space="preserve">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</w:t>
            </w:r>
            <w:r>
              <w:rPr>
                <w:b/>
                <w:color w:val="000000"/>
                <w:szCs w:val="28"/>
              </w:rPr>
              <w:t>товятся выпускники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Условия реализации образовательной </w:t>
            </w:r>
            <w:r>
              <w:rPr>
                <w:b/>
                <w:color w:val="000000"/>
                <w:szCs w:val="28"/>
              </w:rPr>
              <w:t>программы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</w:t>
            </w:r>
            <w:r>
              <w:rPr>
                <w:color w:val="000000"/>
                <w:szCs w:val="28"/>
              </w:rPr>
              <w:t>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</w:t>
            </w:r>
            <w:r>
              <w:rPr>
                <w:color w:val="000000"/>
                <w:szCs w:val="28"/>
              </w:rPr>
              <w:t xml:space="preserve">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</w:t>
            </w:r>
            <w:r>
              <w:rPr>
                <w:b/>
                <w:color w:val="000000"/>
                <w:szCs w:val="28"/>
              </w:rPr>
              <w:t>димом для реализации программы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</w:t>
            </w:r>
            <w:r>
              <w:rPr>
                <w:color w:val="000000"/>
                <w:szCs w:val="28"/>
              </w:rPr>
              <w:t>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</w:t>
            </w:r>
            <w:r>
              <w:rPr>
                <w:color w:val="000000"/>
                <w:szCs w:val="28"/>
              </w:rPr>
              <w:t>бно-методическую и (или) практическую работу, соответствующую профилю преподаваемой дисциплины (модуля), составляет 100 процентов.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</w:t>
            </w:r>
            <w:r>
              <w:rPr>
                <w:color w:val="000000"/>
                <w:szCs w:val="28"/>
              </w:rPr>
              <w:t>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</w:t>
            </w:r>
            <w:r>
              <w:rPr>
                <w:color w:val="000000"/>
                <w:szCs w:val="28"/>
              </w:rPr>
              <w:t>ие, полученное в иностранном государстве и признаваемое в Российской Федерации), составляет 62 процента.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</w:t>
            </w:r>
            <w:r>
              <w:rPr>
                <w:color w:val="000000"/>
                <w:szCs w:val="28"/>
              </w:rPr>
              <w:t>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</w:t>
            </w:r>
            <w:r>
              <w:rPr>
                <w:color w:val="000000"/>
                <w:szCs w:val="28"/>
              </w:rPr>
              <w:t>й профессиональной деятельности, к которой готовятся выпускники (имеют стаж работы в данной профессиональной сфере не менее 3 лет), составляет 72 процента.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</w:t>
            </w:r>
            <w:r>
              <w:rPr>
                <w:color w:val="000000"/>
                <w:szCs w:val="28"/>
              </w:rPr>
              <w:t>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</w:t>
            </w:r>
            <w:r>
              <w:rPr>
                <w:color w:val="000000"/>
                <w:szCs w:val="28"/>
              </w:rPr>
              <w:t>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</w:t>
            </w:r>
            <w:r>
              <w:rPr>
                <w:color w:val="000000"/>
                <w:szCs w:val="28"/>
              </w:rPr>
              <w:t>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</w:t>
            </w:r>
            <w:r>
              <w:rPr>
                <w:color w:val="000000"/>
                <w:szCs w:val="28"/>
              </w:rPr>
              <w:t>быть сформированы универсальные, общепрофессиональные и профессиональные компетенции.</w:t>
            </w:r>
          </w:p>
        </w:tc>
      </w:tr>
      <w:tr w:rsidR="006A4893" w:rsidTr="00906E4D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</w:t>
            </w:r>
            <w:r>
              <w:rPr>
                <w:color w:val="000000"/>
                <w:szCs w:val="28"/>
              </w:rPr>
              <w:t>о подхода, вырабатывать стратегию действий (УК-1)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решения проблемной ситуации; критически оценивает надежн</w:t>
            </w:r>
            <w:r>
              <w:rPr>
                <w:color w:val="000000"/>
                <w:szCs w:val="28"/>
              </w:rPr>
              <w:t>ость источников информации (УК-1.2)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</w:t>
            </w:r>
            <w:r>
              <w:rPr>
                <w:color w:val="000000"/>
                <w:szCs w:val="28"/>
              </w:rPr>
              <w:t>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</w:t>
            </w:r>
            <w:r>
              <w:rPr>
                <w:color w:val="000000"/>
                <w:szCs w:val="28"/>
              </w:rPr>
              <w:t>можностей их устранения (УК-2.2)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</w:t>
            </w:r>
            <w:r>
              <w:rPr>
                <w:color w:val="000000"/>
                <w:szCs w:val="28"/>
              </w:rPr>
              <w:t>атегию для достижения поставленной цели (УК-3)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</w:t>
            </w:r>
            <w:r>
              <w:rPr>
                <w:color w:val="000000"/>
                <w:szCs w:val="28"/>
              </w:rPr>
              <w:t>ных решений (УК-3.2)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всех сторон (УК-3.3)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</w:t>
            </w:r>
            <w:r>
              <w:rPr>
                <w:color w:val="000000"/>
                <w:szCs w:val="28"/>
              </w:rPr>
              <w:t>ного взаимодействия (УК-4)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профессионального взаимодействия в том числе на иностранном языке (УК-4.1)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современные коммуникативные технологии для академического и профессионального взаимодействия (УК-4.3)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</w:t>
            </w:r>
            <w:r>
              <w:rPr>
                <w:color w:val="000000"/>
                <w:szCs w:val="28"/>
              </w:rPr>
              <w:t xml:space="preserve"> и культурные ценности (УК -5.1)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определять и реализовывать </w:t>
            </w:r>
            <w:r>
              <w:rPr>
                <w:color w:val="000000"/>
                <w:szCs w:val="28"/>
              </w:rPr>
              <w:t>приоритеты собственной деятельности и способы ее совершенствования на основе самооценки (УК-6)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</w:t>
            </w:r>
            <w:r>
              <w:rPr>
                <w:color w:val="000000"/>
                <w:szCs w:val="28"/>
              </w:rPr>
              <w:t>ребности и способы совершенствования собственной(в том числе профессиональной) деятельности па основе самооценки (УК-6.2)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сфере. (УК-6.3)</w:t>
            </w:r>
          </w:p>
        </w:tc>
      </w:tr>
      <w:tr w:rsidR="006A4893" w:rsidTr="00906E4D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6A4893" w:rsidP="00906E4D">
            <w:pPr>
              <w:spacing w:after="0" w:line="360" w:lineRule="auto"/>
            </w:pP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</w:t>
            </w:r>
            <w:r>
              <w:rPr>
                <w:color w:val="000000"/>
                <w:szCs w:val="28"/>
              </w:rPr>
              <w:t>ладать следующими общепрофессиональными компетенциями: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естественных наук и математики (ОПК-1)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</w:t>
            </w:r>
            <w:r>
              <w:rPr>
                <w:color w:val="000000"/>
                <w:szCs w:val="28"/>
              </w:rPr>
              <w:t>трирует знание законов, естественно-научных и математических методов для использования в профессиональной деятельности в области управления в технических системах (ОПК-1.1)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Может проводить анализ и выявлять естественно-научную сущность проблем управления</w:t>
            </w:r>
            <w:r>
              <w:rPr>
                <w:color w:val="000000"/>
                <w:szCs w:val="28"/>
              </w:rPr>
              <w:t xml:space="preserve"> в технических системах на основе общей методологии теории управления (ОПК-1.2)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формулировать задачи управления в технических системах и обосновывать методы их решения (ОПК-2)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управления в современных технических системах (ОПК</w:t>
            </w:r>
            <w:r>
              <w:rPr>
                <w:color w:val="000000"/>
                <w:szCs w:val="28"/>
              </w:rPr>
              <w:t>-2.1)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умение анализировать, формулировать и формализовывать задачи управления в технических системах и предлагать обоснованные методы их решения на основе современных компьютерных технологий управления (ОПК-2.2)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самостоятельно </w:t>
            </w:r>
            <w:r>
              <w:rPr>
                <w:color w:val="000000"/>
                <w:szCs w:val="28"/>
              </w:rPr>
              <w:t>решать задачи управления в технических системах на базе последних достижений науки и техники (ОПК-3)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Самостоятельно решает задачи управления в технических системах как задачи многосвязного управления (ОПК-3.1)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Решеает задачи управления в технических </w:t>
            </w:r>
            <w:r>
              <w:rPr>
                <w:color w:val="000000"/>
                <w:szCs w:val="28"/>
              </w:rPr>
              <w:t>системах на основе современных методов и компьютерных технологий (ОПК-3.2)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оценку эффективности результатов разработки систем управления математическими методами (ОПК-4)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оценку эффективности результатов разработки систе</w:t>
            </w:r>
            <w:r>
              <w:rPr>
                <w:color w:val="000000"/>
                <w:szCs w:val="28"/>
              </w:rPr>
              <w:t>м управления на основе математических моделей и методов количественного представления их оценки (ОПК-4.1)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способность разрабатывать критерии оценивания эффективности результатов разработки систем управления на основе методов системного анал</w:t>
            </w:r>
            <w:r>
              <w:rPr>
                <w:color w:val="000000"/>
                <w:szCs w:val="28"/>
              </w:rPr>
              <w:t>иза (ОПК-4.2)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патентные исследования, определять формы и методы правовой охраны и защиты прав на результаты интеллектуальной деятельности, распоряжаться правами на них для решения задач в развития науки, техники и технологии (ОПК-5)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</w:t>
            </w:r>
            <w:r>
              <w:rPr>
                <w:color w:val="000000"/>
                <w:szCs w:val="28"/>
              </w:rPr>
              <w:t>монстрирует знание методов проведения патентных исследований, нормативных положений правовой охраны результатов интеллектуальной деятельности (ОПК-5.1)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патентные исследования, определяет правовую защиту результатов интеллектуальной деятельности,</w:t>
            </w:r>
            <w:r>
              <w:rPr>
                <w:color w:val="000000"/>
                <w:szCs w:val="28"/>
              </w:rPr>
              <w:t xml:space="preserve"> может распоряжаться правами на них в интересах научно-технического прогресса в области управления (ОПК-5.2)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сбор и проводить анализ научно-технической информации, обобщать отечественный и зарубежный опыт в области средств автоматизац</w:t>
            </w:r>
            <w:r>
              <w:rPr>
                <w:color w:val="000000"/>
                <w:szCs w:val="28"/>
              </w:rPr>
              <w:t>ии и управления (ОПК-6)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знание методов поиска научно-технической информации по проблеме использования компьютерных технологий управления в технических системах (ОПК-6.1)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Может проводить сбор, анализ и обобщение отечественной и зарубежной </w:t>
            </w:r>
            <w:r>
              <w:rPr>
                <w:color w:val="000000"/>
                <w:szCs w:val="28"/>
              </w:rPr>
              <w:t>научно-технической информации в области средств автоматизации и управления на основе методологического анализа (ОПК- 6.2)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обоснованный выбор, разрабатывать и реализовывать на практике схемотехнические, системотехнические и аппаратно-п</w:t>
            </w:r>
            <w:r>
              <w:rPr>
                <w:color w:val="000000"/>
                <w:szCs w:val="28"/>
              </w:rPr>
              <w:t>рограммные решения для систем автоматизации и управления (ОПК-7)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знание схемотехнических, системотехнических и программно-аппаратных решений для систем автоматизации и управления (ОПК-7.1)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обоснованный выбор, разработку и реа</w:t>
            </w:r>
            <w:r>
              <w:rPr>
                <w:color w:val="000000"/>
                <w:szCs w:val="28"/>
              </w:rPr>
              <w:t>лизацию на практике системотехнических решений для современных сложных систем автоматизации и управления (ОПК-7.2)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выбирать методы и разрабатывать системы управления сложными техническими объектами и технологическими процессами (ОПК- 8)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</w:t>
            </w:r>
            <w:r>
              <w:rPr>
                <w:color w:val="000000"/>
                <w:szCs w:val="28"/>
              </w:rPr>
              <w:t>ирует знание принципов, алгоритмов и методов управления процессами сложных технических объектов (ОПК-8.1)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системы управления сложными техническими объектами и технологическими процессами (ОПК-8.2)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методики и выполнять</w:t>
            </w:r>
            <w:r>
              <w:rPr>
                <w:color w:val="000000"/>
                <w:szCs w:val="28"/>
              </w:rPr>
              <w:t xml:space="preserve"> эксперименты на действующих объектах с обработкой результатов на основе информационных технологий и технических средств (ОПК-9)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Способен разрабатывать методики и выполнять эксперименты на действующих объектах с обработкой результатов с целю диагностики </w:t>
            </w:r>
            <w:r>
              <w:rPr>
                <w:color w:val="000000"/>
                <w:szCs w:val="28"/>
              </w:rPr>
              <w:t>оборудования (ОПК-9.1)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разрабатывать методики и выполнять эксперименты на действующих объектах и моделях с обработкой результатов с целью оценки адекватности алгоритмов функционирования (ОПК-9.2)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руководить разработкой методических и но</w:t>
            </w:r>
            <w:r>
              <w:rPr>
                <w:color w:val="000000"/>
                <w:szCs w:val="28"/>
              </w:rPr>
              <w:t>рмативных документов, технической документации в области автоматизации технологических процессов и производств, в том числе по жизненному циклу продукции и ее качеству (ОПК-10)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знание требований к информационному наполнению методических и н</w:t>
            </w:r>
            <w:r>
              <w:rPr>
                <w:color w:val="000000"/>
                <w:szCs w:val="28"/>
              </w:rPr>
              <w:t>ормативных документов, к технической документации разрабатываемых систем управления (ОПК-10.1)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Может руководить разработкой методических и нормативных документов, технической документации в области управления техническими системами, в том числе по жизнен</w:t>
            </w:r>
            <w:r>
              <w:rPr>
                <w:color w:val="000000"/>
                <w:szCs w:val="28"/>
              </w:rPr>
              <w:t>ному циклу продукции и ее качеству (ОПК -10.2)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6A4893" w:rsidTr="00906E4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разработке и исследованию алгоритмов функционирования систем управления КА (ПК-1)  (Определена на основании профессионального стандарта 25.042 «Инженер-конструктор по динамике полета и управлению летательным аппаратом в</w:t>
            </w:r>
            <w:r>
              <w:rPr>
                <w:color w:val="000000"/>
                <w:szCs w:val="28"/>
              </w:rPr>
              <w:t xml:space="preserve"> ракетно-космической промышленности», обобщенной трудовой функции «Разработка и исследование алгоритмов функционирования системы управления ка»)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исследует алгоритмы функционирования систем управления летательными аппартами ракетно-космиче</w:t>
            </w:r>
            <w:r>
              <w:rPr>
                <w:color w:val="000000"/>
                <w:szCs w:val="28"/>
              </w:rPr>
              <w:t>ской отрасли (ПК-1.1)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исследует алгоритмы функционирования систем управления летательными аппаратами, в т.ч. и группами, ракетно- космической отрасли на основе методов и технологий вычислительного интеллекта (ПК-1.2)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исс</w:t>
            </w:r>
            <w:r>
              <w:rPr>
                <w:color w:val="000000"/>
                <w:szCs w:val="28"/>
              </w:rPr>
              <w:t>ледует алгоритмы функционирования систем управления летательными аппаартами ракетно-космической отрасли на основе методов и технологий адаптивного управления (ПК-1.3)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и исследует надежность функционирования систем управления КА (ПК-1.4)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Разрабатывает и исследует алгоритмы функционирования систем управления летательными аппартами ракетно-космической отрасли на основе методов и технологий интеллектуального управления (ПК-1.5)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функциональное программное обеспечение сис</w:t>
            </w:r>
            <w:r>
              <w:rPr>
                <w:color w:val="000000"/>
                <w:szCs w:val="28"/>
              </w:rPr>
              <w:t>тем управления летательными и космическими аппаратами (ПК-2) (Определена на основании профессионального стандарта 25.015 «Специалист по разработке системы управления полетами ракет-носителей и космических аппаратов», обобщенной трудовой функции «Разработка</w:t>
            </w:r>
            <w:r>
              <w:rPr>
                <w:color w:val="000000"/>
                <w:szCs w:val="28"/>
              </w:rPr>
              <w:t xml:space="preserve"> программного обеспечения для системы управления полетами рн и ка»)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программное обеспечение систем управления летательными и космическими аппаратами (ПК-2.1)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алгоритмическое обеспечение систем управления летательными и косми</w:t>
            </w:r>
            <w:r>
              <w:rPr>
                <w:color w:val="000000"/>
                <w:szCs w:val="28"/>
              </w:rPr>
              <w:t>ческими аппаратами (ПК-2.2)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проведению научно-исследовательских и опытно- конструкторских работ по системам управления РН и КА (ПК-3) (Определена на основании профессионального стандарта 40.011 «Специалист по научно-исследовательским и опытно-ко</w:t>
            </w:r>
            <w:r>
              <w:rPr>
                <w:color w:val="000000"/>
                <w:szCs w:val="28"/>
              </w:rPr>
              <w:t>нструкторским разработкам», обобщенной трудовой функции «Проведение научно- исследовательских и опытно-конструкторских работ по тематике организации»)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научно-исследовательские работы по динамике полета РН и КА (ПК-3.1)</w:t>
            </w:r>
          </w:p>
          <w:p w:rsidR="006A4893" w:rsidRDefault="00906E4D" w:rsidP="00906E4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опытно-конструк</w:t>
            </w:r>
            <w:r>
              <w:rPr>
                <w:color w:val="000000"/>
                <w:szCs w:val="28"/>
              </w:rPr>
              <w:t>торские работы по системам управления РН и КА (ПК-3.2)</w:t>
            </w:r>
          </w:p>
        </w:tc>
      </w:tr>
    </w:tbl>
    <w:p w:rsidR="006A4893" w:rsidRDefault="006A4893"/>
    <w:sectPr w:rsidR="006A4893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A4893"/>
    <w:rsid w:val="00906E4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5512E2-DE87-46DC-9807-9FB0A09C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2021-12-09T16:54:00Z</dcterms:created>
  <dcterms:modified xsi:type="dcterms:W3CDTF">2021-12-09T16:54:00Z</dcterms:modified>
</cp:coreProperties>
</file>