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7"/>
        <w:gridCol w:w="1857"/>
        <w:gridCol w:w="3518"/>
        <w:gridCol w:w="537"/>
      </w:tblGrid>
      <w:tr w:rsidR="00727887">
        <w:trPr>
          <w:trHeight w:hRule="exact" w:val="1805"/>
        </w:trPr>
        <w:tc>
          <w:tcPr>
            <w:tcW w:w="3828" w:type="dxa"/>
          </w:tcPr>
          <w:p w:rsidR="00727887" w:rsidRDefault="00727887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727887" w:rsidRDefault="007C6A6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727887" w:rsidRDefault="00727887"/>
        </w:tc>
        <w:tc>
          <w:tcPr>
            <w:tcW w:w="568" w:type="dxa"/>
          </w:tcPr>
          <w:p w:rsidR="00727887" w:rsidRDefault="00727887"/>
        </w:tc>
      </w:tr>
      <w:tr w:rsidR="00727887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87" w:rsidRDefault="007C6A6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727887" w:rsidRDefault="007C6A6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727887" w:rsidRDefault="007C6A6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727887" w:rsidRDefault="007C6A6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727887">
        <w:trPr>
          <w:trHeight w:hRule="exact" w:val="277"/>
        </w:trPr>
        <w:tc>
          <w:tcPr>
            <w:tcW w:w="3828" w:type="dxa"/>
          </w:tcPr>
          <w:p w:rsidR="00727887" w:rsidRDefault="00727887"/>
        </w:tc>
        <w:tc>
          <w:tcPr>
            <w:tcW w:w="1702" w:type="dxa"/>
          </w:tcPr>
          <w:p w:rsidR="00727887" w:rsidRDefault="00727887"/>
        </w:tc>
        <w:tc>
          <w:tcPr>
            <w:tcW w:w="3545" w:type="dxa"/>
          </w:tcPr>
          <w:p w:rsidR="00727887" w:rsidRDefault="00727887"/>
        </w:tc>
        <w:tc>
          <w:tcPr>
            <w:tcW w:w="568" w:type="dxa"/>
          </w:tcPr>
          <w:p w:rsidR="00727887" w:rsidRDefault="00727887"/>
        </w:tc>
      </w:tr>
      <w:tr w:rsidR="00727887">
        <w:trPr>
          <w:trHeight w:hRule="exact" w:val="416"/>
        </w:trPr>
        <w:tc>
          <w:tcPr>
            <w:tcW w:w="3828" w:type="dxa"/>
          </w:tcPr>
          <w:p w:rsidR="00727887" w:rsidRDefault="00727887"/>
        </w:tc>
        <w:tc>
          <w:tcPr>
            <w:tcW w:w="1702" w:type="dxa"/>
          </w:tcPr>
          <w:p w:rsidR="00727887" w:rsidRDefault="0072788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727887" w:rsidRDefault="00727887"/>
        </w:tc>
      </w:tr>
      <w:tr w:rsidR="00727887">
        <w:trPr>
          <w:trHeight w:hRule="exact" w:val="416"/>
        </w:trPr>
        <w:tc>
          <w:tcPr>
            <w:tcW w:w="3828" w:type="dxa"/>
          </w:tcPr>
          <w:p w:rsidR="00727887" w:rsidRDefault="00727887"/>
        </w:tc>
        <w:tc>
          <w:tcPr>
            <w:tcW w:w="1702" w:type="dxa"/>
          </w:tcPr>
          <w:p w:rsidR="00727887" w:rsidRDefault="0072788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727887" w:rsidRDefault="00727887"/>
        </w:tc>
      </w:tr>
      <w:tr w:rsidR="00727887">
        <w:trPr>
          <w:trHeight w:hRule="exact" w:val="555"/>
        </w:trPr>
        <w:tc>
          <w:tcPr>
            <w:tcW w:w="3828" w:type="dxa"/>
          </w:tcPr>
          <w:p w:rsidR="00727887" w:rsidRDefault="00727887"/>
        </w:tc>
        <w:tc>
          <w:tcPr>
            <w:tcW w:w="1702" w:type="dxa"/>
          </w:tcPr>
          <w:p w:rsidR="00727887" w:rsidRDefault="0072788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87" w:rsidRDefault="007C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727887" w:rsidRDefault="00727887"/>
        </w:tc>
      </w:tr>
      <w:tr w:rsidR="00727887">
        <w:trPr>
          <w:trHeight w:hRule="exact" w:val="416"/>
        </w:trPr>
        <w:tc>
          <w:tcPr>
            <w:tcW w:w="3828" w:type="dxa"/>
          </w:tcPr>
          <w:p w:rsidR="00727887" w:rsidRDefault="00727887"/>
        </w:tc>
        <w:tc>
          <w:tcPr>
            <w:tcW w:w="1702" w:type="dxa"/>
          </w:tcPr>
          <w:p w:rsidR="00727887" w:rsidRDefault="0072788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7887" w:rsidRDefault="007C6A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727887" w:rsidRDefault="00727887"/>
        </w:tc>
      </w:tr>
      <w:tr w:rsidR="00727887">
        <w:trPr>
          <w:trHeight w:hRule="exact" w:val="555"/>
        </w:trPr>
        <w:tc>
          <w:tcPr>
            <w:tcW w:w="3828" w:type="dxa"/>
          </w:tcPr>
          <w:p w:rsidR="00727887" w:rsidRDefault="00727887"/>
        </w:tc>
        <w:tc>
          <w:tcPr>
            <w:tcW w:w="1702" w:type="dxa"/>
          </w:tcPr>
          <w:p w:rsidR="00727887" w:rsidRDefault="00727887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727887" w:rsidRDefault="00727887"/>
        </w:tc>
        <w:tc>
          <w:tcPr>
            <w:tcW w:w="568" w:type="dxa"/>
          </w:tcPr>
          <w:p w:rsidR="00727887" w:rsidRDefault="00727887"/>
        </w:tc>
      </w:tr>
      <w:tr w:rsidR="00727887">
        <w:trPr>
          <w:trHeight w:hRule="exact" w:val="277"/>
        </w:trPr>
        <w:tc>
          <w:tcPr>
            <w:tcW w:w="3828" w:type="dxa"/>
          </w:tcPr>
          <w:p w:rsidR="00727887" w:rsidRDefault="00727887"/>
        </w:tc>
        <w:tc>
          <w:tcPr>
            <w:tcW w:w="1702" w:type="dxa"/>
          </w:tcPr>
          <w:p w:rsidR="00727887" w:rsidRDefault="00727887"/>
        </w:tc>
        <w:tc>
          <w:tcPr>
            <w:tcW w:w="3545" w:type="dxa"/>
          </w:tcPr>
          <w:p w:rsidR="00727887" w:rsidRDefault="00727887"/>
        </w:tc>
        <w:tc>
          <w:tcPr>
            <w:tcW w:w="568" w:type="dxa"/>
          </w:tcPr>
          <w:p w:rsidR="00727887" w:rsidRDefault="00727887"/>
        </w:tc>
      </w:tr>
      <w:tr w:rsidR="00727887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87" w:rsidRDefault="007C6A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727887" w:rsidRDefault="007C6A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727887">
        <w:trPr>
          <w:trHeight w:hRule="exact" w:val="277"/>
        </w:trPr>
        <w:tc>
          <w:tcPr>
            <w:tcW w:w="3828" w:type="dxa"/>
          </w:tcPr>
          <w:p w:rsidR="00727887" w:rsidRDefault="00727887"/>
        </w:tc>
        <w:tc>
          <w:tcPr>
            <w:tcW w:w="1702" w:type="dxa"/>
          </w:tcPr>
          <w:p w:rsidR="00727887" w:rsidRDefault="00727887"/>
        </w:tc>
        <w:tc>
          <w:tcPr>
            <w:tcW w:w="3545" w:type="dxa"/>
          </w:tcPr>
          <w:p w:rsidR="00727887" w:rsidRDefault="00727887"/>
        </w:tc>
        <w:tc>
          <w:tcPr>
            <w:tcW w:w="568" w:type="dxa"/>
          </w:tcPr>
          <w:p w:rsidR="00727887" w:rsidRDefault="00727887"/>
        </w:tc>
      </w:tr>
      <w:tr w:rsidR="0072788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27.04.03 Системный анализ и управление</w:t>
            </w:r>
          </w:p>
        </w:tc>
      </w:tr>
      <w:tr w:rsidR="0072788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Инженерия автоматизированных систем</w:t>
            </w:r>
          </w:p>
        </w:tc>
      </w:tr>
      <w:tr w:rsidR="0072788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72788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727887">
        <w:trPr>
          <w:trHeight w:hRule="exact" w:val="4139"/>
        </w:trPr>
        <w:tc>
          <w:tcPr>
            <w:tcW w:w="3828" w:type="dxa"/>
          </w:tcPr>
          <w:p w:rsidR="00727887" w:rsidRDefault="00727887"/>
        </w:tc>
        <w:tc>
          <w:tcPr>
            <w:tcW w:w="1702" w:type="dxa"/>
          </w:tcPr>
          <w:p w:rsidR="00727887" w:rsidRDefault="00727887"/>
        </w:tc>
        <w:tc>
          <w:tcPr>
            <w:tcW w:w="3545" w:type="dxa"/>
          </w:tcPr>
          <w:p w:rsidR="00727887" w:rsidRDefault="00727887"/>
        </w:tc>
        <w:tc>
          <w:tcPr>
            <w:tcW w:w="568" w:type="dxa"/>
          </w:tcPr>
          <w:p w:rsidR="00727887" w:rsidRDefault="00727887"/>
        </w:tc>
      </w:tr>
      <w:tr w:rsidR="00727887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27887" w:rsidRDefault="007C6A61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727887" w:rsidRDefault="007C6A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"/>
        <w:gridCol w:w="9370"/>
      </w:tblGrid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27.04.03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Системный</w:t>
            </w:r>
            <w:r>
              <w:t xml:space="preserve"> </w:t>
            </w:r>
            <w:r>
              <w:rPr>
                <w:color w:val="000000"/>
                <w:szCs w:val="28"/>
              </w:rPr>
              <w:t>анализ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управление.</w:t>
            </w:r>
            <w:r>
              <w:t xml:space="preserve"> 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727887" w:rsidRDefault="007C6A61" w:rsidP="007C6A6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727887" w:rsidTr="007C6A6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727887" w:rsidTr="007C6A6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</w:t>
            </w:r>
            <w:r>
              <w:rPr>
                <w:color w:val="000000"/>
                <w:szCs w:val="28"/>
              </w:rPr>
              <w:t>государственный образовательный стандарт высшего образования (ФГОС ВО) по направлению подготовки 27.04.03 Системный анализ и управление, утвержденный приказом Министерства образования и науки Российской Федерации от 29 июля 2020 года № 837;</w:t>
            </w:r>
          </w:p>
        </w:tc>
      </w:tr>
      <w:tr w:rsidR="00727887" w:rsidTr="007C6A6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Порядок </w:t>
            </w:r>
            <w:r>
              <w:rPr>
                <w:color w:val="000000"/>
                <w:szCs w:val="28"/>
              </w:rPr>
              <w:t>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</w:t>
            </w:r>
            <w:r>
              <w:rPr>
                <w:color w:val="000000"/>
                <w:szCs w:val="28"/>
              </w:rPr>
              <w:t>лее – Порядок организации образовательной деятельности);</w:t>
            </w:r>
          </w:p>
        </w:tc>
      </w:tr>
      <w:tr w:rsidR="00727887" w:rsidTr="007C6A6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40.057 Специалист по автоматизированным системам управления производством;</w:t>
            </w:r>
          </w:p>
        </w:tc>
      </w:tr>
      <w:tr w:rsidR="00727887" w:rsidTr="007C6A6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бюджетного образовательного учреждения высшего </w:t>
            </w:r>
            <w:r>
              <w:rPr>
                <w:color w:val="000000"/>
                <w:szCs w:val="28"/>
              </w:rPr>
              <w:t>образования «МИРЭА - Российский технологический университет»</w:t>
            </w:r>
          </w:p>
        </w:tc>
      </w:tr>
      <w:tr w:rsidR="00727887" w:rsidTr="007C6A6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</w:t>
            </w:r>
            <w:r>
              <w:rPr>
                <w:color w:val="000000"/>
                <w:szCs w:val="28"/>
              </w:rPr>
              <w:t>направлению 120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Срок получения образования </w:t>
            </w:r>
            <w:r>
              <w:rPr>
                <w:color w:val="000000"/>
                <w:szCs w:val="28"/>
              </w:rPr>
              <w:t>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</w:t>
            </w:r>
            <w:r>
              <w:rPr>
                <w:color w:val="000000"/>
                <w:szCs w:val="28"/>
              </w:rPr>
              <w:t>ого обучения и дистанционных образовательных технологий.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Области профессиональной деятельности и сферы профессиональной деятельности, в </w:t>
            </w:r>
            <w:r>
              <w:rPr>
                <w:color w:val="000000"/>
                <w:szCs w:val="28"/>
              </w:rPr>
              <w:t>которых выпускники, освоившие программу, могут осуществлять профессиональную деятельность: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40 Сквозные виды профессиональной деятельности в промышленности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</w:t>
            </w:r>
            <w:r>
              <w:rPr>
                <w:color w:val="000000"/>
                <w:szCs w:val="28"/>
              </w:rPr>
              <w:t>льной деятельности, к которым готовятся выпускники: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научно-исследовательский;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организационно-управленческий.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</w:t>
            </w:r>
            <w:r>
              <w:rPr>
                <w:color w:val="000000"/>
                <w:szCs w:val="28"/>
              </w:rPr>
              <w:t>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</w:t>
            </w:r>
            <w:r>
              <w:rPr>
                <w:color w:val="000000"/>
                <w:szCs w:val="28"/>
              </w:rPr>
              <w:t>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</w:t>
            </w:r>
            <w:r>
              <w:rPr>
                <w:b/>
                <w:color w:val="000000"/>
                <w:szCs w:val="28"/>
              </w:rPr>
              <w:t>лизации программы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</w:t>
            </w:r>
            <w:r>
              <w:rPr>
                <w:color w:val="000000"/>
                <w:szCs w:val="28"/>
              </w:rPr>
              <w:t xml:space="preserve">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учебно-методическую </w:t>
            </w:r>
            <w:r>
              <w:rPr>
                <w:color w:val="000000"/>
                <w:szCs w:val="28"/>
              </w:rPr>
              <w:t>и (или) практическую работу, соответствующую профилю преподаваемой дисциплины (модуля), составляет 100 процентов.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количест</w:t>
            </w:r>
            <w:r>
              <w:rPr>
                <w:color w:val="000000"/>
                <w:szCs w:val="28"/>
              </w:rPr>
              <w:t>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</w:t>
            </w:r>
            <w:r>
              <w:rPr>
                <w:color w:val="000000"/>
                <w:szCs w:val="28"/>
              </w:rPr>
              <w:t>остранном государстве и признаваемое в Российской Федерации), составляет 88 процентов.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</w:t>
            </w:r>
            <w:r>
              <w:rPr>
                <w:color w:val="000000"/>
                <w:szCs w:val="28"/>
              </w:rPr>
              <w:t>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</w:t>
            </w:r>
            <w:r>
              <w:rPr>
                <w:color w:val="000000"/>
                <w:szCs w:val="28"/>
              </w:rPr>
              <w:t>й деятельности, к которой готовятся выпускники (имеют стаж работы в данной профессиональной сфере не менее 3 лет), составляет 10 процентов.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Квалификация руководящих и педагогических работников Университета соответствует квалификационным характеристикам, </w:t>
            </w:r>
            <w:r>
              <w:rPr>
                <w:color w:val="000000"/>
                <w:szCs w:val="28"/>
              </w:rPr>
              <w:t>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</w:t>
            </w:r>
            <w:r>
              <w:rPr>
                <w:color w:val="000000"/>
                <w:szCs w:val="28"/>
              </w:rPr>
              <w:t>я», утвержденном приказом Минздравсоцразвития РФ от 11.01.2011 № 1н и профессиональным стандартам (при наличии).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</w:t>
            </w:r>
            <w:r>
              <w:rPr>
                <w:color w:val="000000"/>
                <w:szCs w:val="28"/>
              </w:rPr>
              <w:t>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быть сформированы </w:t>
            </w:r>
            <w:r>
              <w:rPr>
                <w:color w:val="000000"/>
                <w:szCs w:val="28"/>
              </w:rPr>
              <w:t>универсальные, общепрофессиональные и профессиональные компетенции.</w:t>
            </w:r>
          </w:p>
        </w:tc>
      </w:tr>
      <w:tr w:rsidR="00727887" w:rsidTr="007C6A61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осуществлять критический анализ проблемных ситуаций на основе системного подхода, </w:t>
            </w:r>
            <w:r>
              <w:rPr>
                <w:color w:val="000000"/>
                <w:szCs w:val="28"/>
              </w:rPr>
              <w:t>вырабатывать стратегию действий (УК-1)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пробелы в информации, необходимой для решения проблемной ситуации; критически оценивает надежность источн</w:t>
            </w:r>
            <w:r>
              <w:rPr>
                <w:color w:val="000000"/>
                <w:szCs w:val="28"/>
              </w:rPr>
              <w:t>иков информации (УК-1.2)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 на всех этапах его жизненного цикла (УК-2)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 на ос</w:t>
            </w:r>
            <w:r>
              <w:rPr>
                <w:color w:val="000000"/>
                <w:szCs w:val="28"/>
              </w:rPr>
              <w:t>нове поставленной проблемы проектную задачу и способ её решения через реализацию проектного управления (УК-2.1)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возможностей и</w:t>
            </w:r>
            <w:r>
              <w:rPr>
                <w:color w:val="000000"/>
                <w:szCs w:val="28"/>
              </w:rPr>
              <w:t>х устранения (УК-2.2)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проекта. (УК-2.3)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организовывать и руководить работой команды, вырабатывая командную стратегию для </w:t>
            </w:r>
            <w:r>
              <w:rPr>
                <w:color w:val="000000"/>
                <w:szCs w:val="28"/>
              </w:rPr>
              <w:t>достижения поставленной цели (УК- 3)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и корректирует работу команды, в том числе и на основе коллегиальных решени</w:t>
            </w:r>
            <w:r>
              <w:rPr>
                <w:color w:val="000000"/>
                <w:szCs w:val="28"/>
              </w:rPr>
              <w:t>й (УК-3.2)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работой команды, разрешает и противоречия на основе учёта интереса всех сторон (УК-3.3)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</w:t>
            </w:r>
            <w:r>
              <w:rPr>
                <w:color w:val="000000"/>
                <w:szCs w:val="28"/>
              </w:rPr>
              <w:t>одействия (УК-4)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деловую переписку для профессионального взаимодействия в том числе на иностранном языке (УК-4.1)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Представляет результаты своей профессиональной деятельности и участвует в дискуссиях на иностранном языке (УК-4.2)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</w:t>
            </w:r>
            <w:r>
              <w:rPr>
                <w:color w:val="000000"/>
                <w:szCs w:val="28"/>
              </w:rPr>
              <w:t>т современные коммуникативные технологии для академического и профессионального взаимодействия (УК-4.3)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важнейшие идеологические и культур</w:t>
            </w:r>
            <w:r>
              <w:rPr>
                <w:color w:val="000000"/>
                <w:szCs w:val="28"/>
              </w:rPr>
              <w:t>ные ценности (УК -5.1)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определять и реализовывать приоритеты </w:t>
            </w:r>
            <w:r>
              <w:rPr>
                <w:color w:val="000000"/>
                <w:szCs w:val="28"/>
              </w:rPr>
              <w:t>собственной деятельности и способы ее совершенствования на основе самооценки (УК-6)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свои ресурсы и их пределы (личностные, ситуативные, временные) для успешного выполнения порученного задания (УК-6.1)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образовательные потребности и </w:t>
            </w:r>
            <w:r>
              <w:rPr>
                <w:color w:val="000000"/>
                <w:szCs w:val="28"/>
              </w:rPr>
              <w:t>способы совершенствования собственной (в том числе профессиональной) деятельности па основе самооценки (УК-6.2)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реализует стратегию собственного развития в профессиональной сфере (УК-6.3)</w:t>
            </w:r>
          </w:p>
        </w:tc>
      </w:tr>
      <w:tr w:rsidR="00727887" w:rsidTr="007C6A61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27887" w:rsidP="007C6A61">
            <w:pPr>
              <w:spacing w:after="0" w:line="360" w:lineRule="auto"/>
            </w:pP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след</w:t>
            </w:r>
            <w:r>
              <w:rPr>
                <w:color w:val="000000"/>
                <w:szCs w:val="28"/>
              </w:rPr>
              <w:t>ующими общепрофессиональными компетенциями: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выявлять естественно-научную сущность проблем управления в технических системах на основе ранее приобретенных знаний (ОПК-1)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Анализирует естественно-научную сущность проблем управления </w:t>
            </w:r>
            <w:r>
              <w:rPr>
                <w:color w:val="000000"/>
                <w:szCs w:val="28"/>
              </w:rPr>
              <w:t>в технических системах на основе ранее приобретенных знаний (ОПК-1.1)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естественно-научную сущность проблем управления в технических системах на основе ранее приобретенных знаний (ОПК-1.2)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формулировать задачи управления в технических си</w:t>
            </w:r>
            <w:r>
              <w:rPr>
                <w:color w:val="000000"/>
                <w:szCs w:val="28"/>
              </w:rPr>
              <w:t>стемах и обосновывать методы их решения (ОПК-2)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задачи управления в технических системах (ОПК-2.1)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методы решения задач управления в технических системах (ОПК-2.2)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решать задачи системного анализа и управления в </w:t>
            </w:r>
            <w:r>
              <w:rPr>
                <w:color w:val="000000"/>
                <w:szCs w:val="28"/>
              </w:rPr>
              <w:t>технических системах на базе последних достижений науки и техники (ОПК -3)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Решает задачи системного анализа и управления в технических системах на базе последних достижений в области кибернетического управления (ОПК-3.1)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Решает задачи системного анализ</w:t>
            </w:r>
            <w:r>
              <w:rPr>
                <w:color w:val="000000"/>
                <w:szCs w:val="28"/>
              </w:rPr>
              <w:t>а и управления в технических системах на базе последних достижений в области системной инженерии и управления жизненным циклом систем (ОПК-3.2)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оценку эффективности технических систем методами системного анализа и управления (ОПК-4)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Формулирует задачу оценки эффективности технических систем на этапах их жизненного цикла (ОПК-4.1)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оценку эффективности технических систем на этапах их жизненного цикла (ОПК-4.2)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решать задачи в области развития науки, техники и те</w:t>
            </w:r>
            <w:r>
              <w:rPr>
                <w:color w:val="000000"/>
                <w:szCs w:val="28"/>
              </w:rPr>
              <w:t>хнологии, применяя современные методы системного анализа и управления с учетом нормативно-правового регулирования в сфере интеллектуальной собственности (ОПК-5)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российскую и международную практику нормативно- правового регулирования в сфере инт</w:t>
            </w:r>
            <w:r>
              <w:rPr>
                <w:color w:val="000000"/>
                <w:szCs w:val="28"/>
              </w:rPr>
              <w:t>еллектуальной собственности (ОПК- 5.1)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Решает задачи в области инженерии автоматизированных систем, применяя современные методы системного анализа и управления с учетом нормативно-правового регулирования в сфере интеллектуальной собственности (ОПК-5.2)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t>пособен применять методы математического, функционального и системного анализа для решения задач моделирования, исследования и синтеза автоматического управления техническими объектами (ОПК-6)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математического и функционального анализа дл</w:t>
            </w:r>
            <w:r>
              <w:rPr>
                <w:color w:val="000000"/>
                <w:szCs w:val="28"/>
              </w:rPr>
              <w:t>я решения задач моделирования, исследования и синтеза автоматического управления техническими объектами (ОПК-6.1)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системного анализа для решения задач моделирования, исследования и синтеза автоматического управления техническими объектам</w:t>
            </w:r>
            <w:r>
              <w:rPr>
                <w:color w:val="000000"/>
                <w:szCs w:val="28"/>
              </w:rPr>
              <w:t>и (ОПК-6.2)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выбирать методы и разрабатывать на их основе алгоритмы и программы для решения задач автоматического управления сложными объектами (ОПК-7)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методы для решения задач автоматического управления сложными объектами (ОПК-7.1)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</w:t>
            </w:r>
            <w:r>
              <w:rPr>
                <w:color w:val="000000"/>
                <w:szCs w:val="28"/>
              </w:rPr>
              <w:t>зрабатывает алгоритмы и программы для решения задач автоматического управления сложными объектами (ОПК-7.2)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формулировать содержательные и математические задачи исследований, выбирать методы исследований, системно анализировать, интерпретировать и</w:t>
            </w:r>
            <w:r>
              <w:rPr>
                <w:color w:val="000000"/>
                <w:szCs w:val="28"/>
              </w:rPr>
              <w:t xml:space="preserve"> представлять результаты исследований (ОПК-8)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содержательные и математические задачи исследований в области инженерии автоматизированных систем (ОПК-8.1)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методы исследований в области инженерии автоматизированных систем (ОПК-8.2)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Системно анализирует, интерпретирует и представляет результаты исследований в области инженерии автоматизированных систем (ОПК-8.3)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новые и модифицировать существующие методы системного анализа для адаптивного и робастного управлени</w:t>
            </w:r>
            <w:r>
              <w:rPr>
                <w:color w:val="000000"/>
                <w:szCs w:val="28"/>
              </w:rPr>
              <w:t>я техническими объектами в условиях регулярной и хаотической динамики (ОПК-9)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новые методы системного анализа для адаптивного и робастного управления техническими объектами в условиях регулярной и хаотической динамики (ОПК-9.1)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Модифициру</w:t>
            </w:r>
            <w:r>
              <w:rPr>
                <w:color w:val="000000"/>
                <w:szCs w:val="28"/>
              </w:rPr>
              <w:t>ет существующие методы системного анализа для адаптивного и робастного управления техническими объектами в условиях регулярной и хаотической динамики (ОПК-9.2)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профессиональными компетенциями, </w:t>
            </w:r>
            <w:r>
              <w:rPr>
                <w:color w:val="000000"/>
                <w:szCs w:val="28"/>
              </w:rPr>
              <w:t>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организовать разработку мероприятий по повышению качества функционирования АСУП (или ее элементов) (ПК-1)  </w:t>
            </w:r>
            <w:r>
              <w:rPr>
                <w:color w:val="000000"/>
                <w:szCs w:val="28"/>
              </w:rPr>
              <w:t>(Определена на основании профессионального стандарта 40.057 «Специалист по автоматизированным системам управления производством», обобщенной трудовой функции «Организация проведения работ по проектированию асуп»)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конкурентоспособность проекти</w:t>
            </w:r>
            <w:r>
              <w:rPr>
                <w:color w:val="000000"/>
                <w:szCs w:val="28"/>
              </w:rPr>
              <w:t>руемой АСУП (или ее элементов) (ПК-1.1)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планы мероприятий по выявлению необходимых параметров качества АСУП (или ее элементов) (ПК-1.2)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Готовит и предоставляет руководству отчеты о необходимости внесения изменений по параметрам качества п</w:t>
            </w:r>
            <w:r>
              <w:rPr>
                <w:color w:val="000000"/>
                <w:szCs w:val="28"/>
              </w:rPr>
              <w:t>роектируемой АСУП (или ее элементов) (ПК-1.3)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организационно-управленческий</w:t>
            </w:r>
          </w:p>
        </w:tc>
      </w:tr>
      <w:tr w:rsidR="00727887" w:rsidTr="007C6A61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организовать анализ и оптимизацию процессов управления жизненным циклом АСУП в организации (ПК-2)  (Определена на основании профессионального стандарта 40.057 </w:t>
            </w:r>
            <w:r>
              <w:rPr>
                <w:color w:val="000000"/>
                <w:szCs w:val="28"/>
              </w:rPr>
              <w:t>«Специалист по автоматизированным системам управления производством», обобщенной трудовой функции «Организация проведения работ по проектированию асуп»)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 структуру системы документооборота при проектировании, внедрении и эксплуатации АСУП органи</w:t>
            </w:r>
            <w:r>
              <w:rPr>
                <w:color w:val="000000"/>
                <w:szCs w:val="28"/>
              </w:rPr>
              <w:t>зации (ПК-2.1)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Исследует системы управления и регулирования производства с целью возможности их формализации и целесообразности перевода соответствующих процессов в автоматизированный режим (ПК-2.2)</w:t>
            </w:r>
          </w:p>
          <w:p w:rsidR="00727887" w:rsidRDefault="007C6A61" w:rsidP="007C6A6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 технические задания по созданию АСУП и ее п</w:t>
            </w:r>
            <w:r>
              <w:rPr>
                <w:color w:val="000000"/>
                <w:szCs w:val="28"/>
              </w:rPr>
              <w:t>одсистем (ПК-2.3)</w:t>
            </w:r>
          </w:p>
        </w:tc>
      </w:tr>
    </w:tbl>
    <w:p w:rsidR="00727887" w:rsidRDefault="00727887"/>
    <w:sectPr w:rsidR="00727887" w:rsidSect="00727887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27887"/>
    <w:rsid w:val="007C6A6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87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Timur</cp:lastModifiedBy>
  <cp:revision>2</cp:revision>
  <dcterms:created xsi:type="dcterms:W3CDTF">2021-12-02T18:09:00Z</dcterms:created>
  <dcterms:modified xsi:type="dcterms:W3CDTF">2021-12-02T18:09:00Z</dcterms:modified>
</cp:coreProperties>
</file>