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9C2ED9">
        <w:trPr>
          <w:trHeight w:hRule="exact" w:val="1805"/>
        </w:trPr>
        <w:tc>
          <w:tcPr>
            <w:tcW w:w="3828" w:type="dxa"/>
          </w:tcPr>
          <w:p w:rsidR="009C2ED9" w:rsidRDefault="009C2ED9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9C2ED9" w:rsidRDefault="00F126B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C2ED9" w:rsidRDefault="009C2ED9"/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ED9" w:rsidRDefault="00F126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9C2ED9" w:rsidRDefault="00F126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9C2ED9" w:rsidRDefault="00F126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9C2ED9" w:rsidRDefault="00F126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9C2ED9">
        <w:trPr>
          <w:trHeight w:hRule="exact" w:val="277"/>
        </w:trPr>
        <w:tc>
          <w:tcPr>
            <w:tcW w:w="3828" w:type="dxa"/>
          </w:tcPr>
          <w:p w:rsidR="009C2ED9" w:rsidRDefault="009C2ED9"/>
        </w:tc>
        <w:tc>
          <w:tcPr>
            <w:tcW w:w="1702" w:type="dxa"/>
          </w:tcPr>
          <w:p w:rsidR="009C2ED9" w:rsidRDefault="009C2ED9"/>
        </w:tc>
        <w:tc>
          <w:tcPr>
            <w:tcW w:w="3545" w:type="dxa"/>
          </w:tcPr>
          <w:p w:rsidR="009C2ED9" w:rsidRDefault="009C2ED9"/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416"/>
        </w:trPr>
        <w:tc>
          <w:tcPr>
            <w:tcW w:w="3828" w:type="dxa"/>
          </w:tcPr>
          <w:p w:rsidR="009C2ED9" w:rsidRDefault="009C2ED9"/>
        </w:tc>
        <w:tc>
          <w:tcPr>
            <w:tcW w:w="1702" w:type="dxa"/>
          </w:tcPr>
          <w:p w:rsidR="009C2ED9" w:rsidRDefault="009C2ED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416"/>
        </w:trPr>
        <w:tc>
          <w:tcPr>
            <w:tcW w:w="3828" w:type="dxa"/>
          </w:tcPr>
          <w:p w:rsidR="009C2ED9" w:rsidRDefault="009C2ED9"/>
        </w:tc>
        <w:tc>
          <w:tcPr>
            <w:tcW w:w="1702" w:type="dxa"/>
          </w:tcPr>
          <w:p w:rsidR="009C2ED9" w:rsidRDefault="009C2ED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555"/>
        </w:trPr>
        <w:tc>
          <w:tcPr>
            <w:tcW w:w="3828" w:type="dxa"/>
          </w:tcPr>
          <w:p w:rsidR="009C2ED9" w:rsidRDefault="009C2ED9"/>
        </w:tc>
        <w:tc>
          <w:tcPr>
            <w:tcW w:w="1702" w:type="dxa"/>
          </w:tcPr>
          <w:p w:rsidR="009C2ED9" w:rsidRDefault="009C2ED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ED9" w:rsidRDefault="00F12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416"/>
        </w:trPr>
        <w:tc>
          <w:tcPr>
            <w:tcW w:w="3828" w:type="dxa"/>
          </w:tcPr>
          <w:p w:rsidR="009C2ED9" w:rsidRDefault="009C2ED9"/>
        </w:tc>
        <w:tc>
          <w:tcPr>
            <w:tcW w:w="1702" w:type="dxa"/>
          </w:tcPr>
          <w:p w:rsidR="009C2ED9" w:rsidRDefault="009C2ED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2ED9" w:rsidRDefault="00F12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555"/>
        </w:trPr>
        <w:tc>
          <w:tcPr>
            <w:tcW w:w="3828" w:type="dxa"/>
          </w:tcPr>
          <w:p w:rsidR="009C2ED9" w:rsidRDefault="009C2ED9"/>
        </w:tc>
        <w:tc>
          <w:tcPr>
            <w:tcW w:w="1702" w:type="dxa"/>
          </w:tcPr>
          <w:p w:rsidR="009C2ED9" w:rsidRDefault="009C2ED9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9C2ED9" w:rsidRDefault="009C2ED9"/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277"/>
        </w:trPr>
        <w:tc>
          <w:tcPr>
            <w:tcW w:w="3828" w:type="dxa"/>
          </w:tcPr>
          <w:p w:rsidR="009C2ED9" w:rsidRDefault="009C2ED9"/>
        </w:tc>
        <w:tc>
          <w:tcPr>
            <w:tcW w:w="1702" w:type="dxa"/>
          </w:tcPr>
          <w:p w:rsidR="009C2ED9" w:rsidRDefault="009C2ED9"/>
        </w:tc>
        <w:tc>
          <w:tcPr>
            <w:tcW w:w="3545" w:type="dxa"/>
          </w:tcPr>
          <w:p w:rsidR="009C2ED9" w:rsidRDefault="009C2ED9"/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ED9" w:rsidRDefault="00F126B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9C2ED9" w:rsidRDefault="00F126B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9C2ED9">
        <w:trPr>
          <w:trHeight w:hRule="exact" w:val="277"/>
        </w:trPr>
        <w:tc>
          <w:tcPr>
            <w:tcW w:w="3828" w:type="dxa"/>
          </w:tcPr>
          <w:p w:rsidR="009C2ED9" w:rsidRDefault="009C2ED9"/>
        </w:tc>
        <w:tc>
          <w:tcPr>
            <w:tcW w:w="1702" w:type="dxa"/>
          </w:tcPr>
          <w:p w:rsidR="009C2ED9" w:rsidRDefault="009C2ED9"/>
        </w:tc>
        <w:tc>
          <w:tcPr>
            <w:tcW w:w="3545" w:type="dxa"/>
          </w:tcPr>
          <w:p w:rsidR="009C2ED9" w:rsidRDefault="009C2ED9"/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20.04.01 Техносферная безопасность</w:t>
            </w:r>
          </w:p>
        </w:tc>
      </w:tr>
      <w:tr w:rsidR="009C2ED9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Экологическая безопасность и надзор в промышленности</w:t>
            </w:r>
          </w:p>
        </w:tc>
      </w:tr>
      <w:tr w:rsidR="009C2ED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9C2ED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Форма </w:t>
            </w:r>
            <w:r>
              <w:rPr>
                <w:color w:val="000000"/>
                <w:szCs w:val="28"/>
              </w:rPr>
              <w:t>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9C2ED9">
        <w:trPr>
          <w:trHeight w:hRule="exact" w:val="4124"/>
        </w:trPr>
        <w:tc>
          <w:tcPr>
            <w:tcW w:w="3828" w:type="dxa"/>
          </w:tcPr>
          <w:p w:rsidR="009C2ED9" w:rsidRDefault="009C2ED9"/>
        </w:tc>
        <w:tc>
          <w:tcPr>
            <w:tcW w:w="1702" w:type="dxa"/>
          </w:tcPr>
          <w:p w:rsidR="009C2ED9" w:rsidRDefault="009C2ED9"/>
        </w:tc>
        <w:tc>
          <w:tcPr>
            <w:tcW w:w="3545" w:type="dxa"/>
          </w:tcPr>
          <w:p w:rsidR="009C2ED9" w:rsidRDefault="009C2ED9"/>
        </w:tc>
        <w:tc>
          <w:tcPr>
            <w:tcW w:w="568" w:type="dxa"/>
          </w:tcPr>
          <w:p w:rsidR="009C2ED9" w:rsidRDefault="009C2ED9"/>
        </w:tc>
      </w:tr>
      <w:tr w:rsidR="009C2ED9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2ED9" w:rsidRDefault="00F126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9C2ED9" w:rsidRDefault="00F12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20.04.01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Техносферная</w:t>
            </w:r>
            <w:r>
              <w:t xml:space="preserve"> </w:t>
            </w:r>
            <w:r>
              <w:rPr>
                <w:color w:val="000000"/>
                <w:szCs w:val="28"/>
              </w:rPr>
              <w:t>безопасность.</w:t>
            </w:r>
            <w:r>
              <w:t xml:space="preserve"> 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9C2ED9" w:rsidTr="00F126B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9C2ED9" w:rsidTr="00F126B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</w:t>
            </w:r>
            <w:r>
              <w:rPr>
                <w:color w:val="000000"/>
                <w:szCs w:val="28"/>
              </w:rPr>
              <w:t>государственный образовательный стандарт высшего образования (ФГОС ВО) по направлению подготовки 20.04.01 Техносферная безопасность, утвержденный приказом Министерства образования и науки Российской Федерации от 25 мая 2020 года № 678;</w:t>
            </w:r>
          </w:p>
        </w:tc>
      </w:tr>
      <w:tr w:rsidR="009C2ED9" w:rsidTr="00F126B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</w:t>
            </w:r>
            <w:r>
              <w:rPr>
                <w:color w:val="000000"/>
                <w:szCs w:val="28"/>
              </w:rPr>
              <w:t>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</w:t>
            </w:r>
            <w:r>
              <w:rPr>
                <w:color w:val="000000"/>
                <w:szCs w:val="28"/>
              </w:rPr>
              <w:t>ядок организации образовательной деятельности);</w:t>
            </w:r>
          </w:p>
        </w:tc>
      </w:tr>
      <w:tr w:rsidR="009C2ED9" w:rsidTr="00F126B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40.117 Специалист по экологической безопасности (в промышленности);</w:t>
            </w:r>
          </w:p>
        </w:tc>
      </w:tr>
      <w:tr w:rsidR="009C2ED9" w:rsidTr="00F126B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образования «МИРЭА - </w:t>
            </w:r>
            <w:r>
              <w:rPr>
                <w:color w:val="000000"/>
                <w:szCs w:val="28"/>
              </w:rPr>
              <w:t>Российский технологический университет»</w:t>
            </w:r>
          </w:p>
        </w:tc>
      </w:tr>
      <w:tr w:rsidR="009C2ED9" w:rsidTr="00F126B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120 зачетных </w:t>
            </w:r>
            <w:r>
              <w:rPr>
                <w:color w:val="000000"/>
                <w:szCs w:val="28"/>
              </w:rPr>
              <w:t>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</w:t>
            </w:r>
            <w:r>
              <w:rPr>
                <w:color w:val="000000"/>
                <w:szCs w:val="28"/>
              </w:rPr>
              <w:t>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электронного обучения и </w:t>
            </w:r>
            <w:r>
              <w:rPr>
                <w:color w:val="000000"/>
                <w:szCs w:val="28"/>
              </w:rPr>
              <w:t>дистанционных образовательных технологий.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</w:t>
            </w:r>
            <w:r>
              <w:rPr>
                <w:color w:val="000000"/>
                <w:szCs w:val="28"/>
              </w:rPr>
              <w:t>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</w:t>
            </w:r>
            <w:r>
              <w:rPr>
                <w:color w:val="000000"/>
                <w:szCs w:val="28"/>
              </w:rPr>
              <w:t xml:space="preserve"> освоившие программу, могут осуществлять профессиональную деятельность: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</w:t>
            </w:r>
            <w:r>
              <w:rPr>
                <w:color w:val="000000"/>
                <w:szCs w:val="28"/>
              </w:rPr>
              <w:t xml:space="preserve"> к которым готовятся выпускники: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экспертный, надзорный и инспекционно-аудиторский.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</w:t>
            </w:r>
            <w:r>
              <w:rPr>
                <w:color w:val="000000"/>
                <w:szCs w:val="28"/>
              </w:rPr>
              <w:t xml:space="preserve">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</w:t>
            </w:r>
            <w:r>
              <w:rPr>
                <w:color w:val="000000"/>
                <w:szCs w:val="28"/>
              </w:rPr>
              <w:t>ериально-технического обеспечения (включая программное обеспечение) указан в рабочих программах.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</w:t>
            </w:r>
            <w:r>
              <w:rPr>
                <w:color w:val="000000"/>
                <w:szCs w:val="28"/>
              </w:rPr>
              <w:t xml:space="preserve">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</w:t>
            </w:r>
            <w:r>
              <w:rPr>
                <w:color w:val="000000"/>
                <w:szCs w:val="28"/>
              </w:rPr>
              <w:t>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</w:t>
            </w:r>
            <w:r>
              <w:rPr>
                <w:color w:val="000000"/>
                <w:szCs w:val="28"/>
              </w:rPr>
              <w:t>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</w:t>
            </w:r>
            <w:r>
              <w:rPr>
                <w:color w:val="000000"/>
                <w:szCs w:val="28"/>
              </w:rPr>
              <w:t>ую работу, соответствующую профилю преподаваемой дисциплины (модуля), составляет 70 процентов.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</w:t>
            </w:r>
            <w:r>
              <w:rPr>
                <w:color w:val="000000"/>
                <w:szCs w:val="28"/>
              </w:rPr>
              <w:t>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</w:t>
            </w:r>
            <w:r>
              <w:rPr>
                <w:color w:val="000000"/>
                <w:szCs w:val="28"/>
              </w:rPr>
              <w:t>дарстве и признаваемое в Российской Федерации), составляет 60 процентов.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</w:t>
            </w:r>
            <w:r>
              <w:rPr>
                <w:color w:val="000000"/>
                <w:szCs w:val="28"/>
              </w:rPr>
              <w:t>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</w:t>
            </w:r>
            <w:r>
              <w:rPr>
                <w:color w:val="000000"/>
                <w:szCs w:val="28"/>
              </w:rPr>
              <w:t xml:space="preserve">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работников Университета соответствует квалификационным характеристикам, установлен</w:t>
            </w:r>
            <w:r>
              <w:rPr>
                <w:color w:val="000000"/>
                <w:szCs w:val="28"/>
              </w:rPr>
              <w:t>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</w:t>
            </w:r>
            <w:r>
              <w:rPr>
                <w:color w:val="000000"/>
                <w:szCs w:val="28"/>
              </w:rPr>
              <w:t>денном приказом Минздравсоцразвития РФ от 11.01.2011 № 1н и профессиональным стандартам (при наличии).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</w:t>
            </w:r>
            <w:r>
              <w:rPr>
                <w:color w:val="000000"/>
                <w:szCs w:val="28"/>
              </w:rPr>
              <w:t>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сформированы </w:t>
            </w:r>
            <w:r>
              <w:rPr>
                <w:color w:val="000000"/>
                <w:szCs w:val="28"/>
              </w:rPr>
              <w:t>универсальные, общепрофессиональные и профессиональные компетенции.</w:t>
            </w:r>
          </w:p>
        </w:tc>
      </w:tr>
      <w:tr w:rsidR="009C2ED9" w:rsidTr="00F126B7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</w:t>
            </w:r>
            <w:r>
              <w:rPr>
                <w:color w:val="000000"/>
                <w:szCs w:val="28"/>
              </w:rPr>
              <w:t>ывать стратегию действий (УК-1)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пробелы в информации, необходимой для решения проблемной ситуации; критически оценивает надежность источников ин</w:t>
            </w:r>
            <w:r>
              <w:rPr>
                <w:color w:val="000000"/>
                <w:szCs w:val="28"/>
              </w:rPr>
              <w:t>формации (УК-1.2)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на основе по</w:t>
            </w:r>
            <w:r>
              <w:rPr>
                <w:color w:val="000000"/>
                <w:szCs w:val="28"/>
              </w:rPr>
              <w:t>ставленной проблемы проектную задачу и способ её решения через реализацию проектного управления (УК-2.1)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</w:t>
            </w:r>
            <w:r>
              <w:rPr>
                <w:color w:val="000000"/>
                <w:szCs w:val="28"/>
              </w:rPr>
              <w:t>нения (УК-2.2)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</w:t>
            </w:r>
            <w:r>
              <w:rPr>
                <w:color w:val="000000"/>
                <w:szCs w:val="28"/>
              </w:rPr>
              <w:t>ния поставленной цели (УК-3)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коллегиальных решений (УК-3.</w:t>
            </w:r>
            <w:r>
              <w:rPr>
                <w:color w:val="000000"/>
                <w:szCs w:val="28"/>
              </w:rPr>
              <w:t>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</w:t>
            </w:r>
            <w:r>
              <w:rPr>
                <w:color w:val="000000"/>
                <w:szCs w:val="28"/>
              </w:rPr>
              <w:t>я (УК-4)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</w:t>
            </w:r>
            <w:r>
              <w:rPr>
                <w:color w:val="000000"/>
                <w:szCs w:val="28"/>
              </w:rPr>
              <w:t>овать и учитывать разнообразие культур в процессе межкультурного взаимодействия (УК-5)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особенностей деловой и общей к</w:t>
            </w:r>
            <w:r>
              <w:rPr>
                <w:color w:val="000000"/>
                <w:szCs w:val="28"/>
              </w:rPr>
              <w:t>ультуры представителей других этносов и конфессий, различных социальных групп (УК-5.2)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Оценивает свои ресурсы и их пределы </w:t>
            </w:r>
            <w:r>
              <w:rPr>
                <w:color w:val="000000"/>
                <w:szCs w:val="28"/>
              </w:rPr>
              <w:t>(личностные, ситуативные, временные) для успешного выполнения порученного задания (УК-6.1)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па основе самооценки (УК-6.2)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Выбирает </w:t>
            </w:r>
            <w:r>
              <w:rPr>
                <w:color w:val="000000"/>
                <w:szCs w:val="28"/>
              </w:rPr>
              <w:t>и реализует стратегию собственного развития в профессиональной сфере. (УК-6.3)</w:t>
            </w:r>
          </w:p>
        </w:tc>
      </w:tr>
      <w:tr w:rsidR="009C2ED9" w:rsidTr="00F126B7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9C2ED9" w:rsidP="00F126B7">
            <w:pPr>
              <w:spacing w:after="0" w:line="360" w:lineRule="auto"/>
            </w:pP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самостоятельно приобретать, структурировать и применять математически</w:t>
            </w:r>
            <w:r>
              <w:rPr>
                <w:color w:val="000000"/>
                <w:szCs w:val="28"/>
              </w:rPr>
              <w:t>е, естественнонаучные, социально-экономические и профессиональные знания в области техносферной безопасности, решать сложные и проблемные вопросы; (ОПК-1)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потенциальную опасность объектов экономики для человека и среды обитания (ОПК-1.1)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</w:t>
            </w:r>
            <w:r>
              <w:rPr>
                <w:color w:val="000000"/>
                <w:szCs w:val="28"/>
              </w:rPr>
              <w:t>енивает потенциальную опасность объектов экономики для человека и среды обитания (ОПК-1.2)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применять знания и опыт в сфере техносферной безопасности для решения задач в профессиональной деятельности; (ОПК-2)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краткосроч</w:t>
            </w:r>
            <w:r>
              <w:rPr>
                <w:color w:val="000000"/>
                <w:szCs w:val="28"/>
              </w:rPr>
              <w:t>ные и долгосрочные прогнозы развития ситуации (ОПК-2.1)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мониторинг в техносфере и анализирует его результаты (ОПК-2.2)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представлять итоги профессиональной деятельности в области техносферной безопасности в виде отчетов, рефератов,</w:t>
            </w:r>
            <w:r>
              <w:rPr>
                <w:color w:val="000000"/>
                <w:szCs w:val="28"/>
              </w:rPr>
              <w:t xml:space="preserve"> статей, заявок на выдачу патентов, оформленных в соответствии с предъявляемыми требованиями; (ОПК-3)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поиск и анализ информации об опыте применения аналогичных технологий в других организациях (ОПК-3.1)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Проводит аудит систем безопасности, </w:t>
            </w:r>
            <w:r>
              <w:rPr>
                <w:color w:val="000000"/>
                <w:szCs w:val="28"/>
              </w:rPr>
              <w:t>выявляет основные факторы, влияющие на достижение намеченных результатов (ОПК-3.2)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обучение по вопросам безопасности жизнедеятельности и защиты окружающей среды; (ОПК-4)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Подбирает информацию в области нормативно-технической документаци</w:t>
            </w:r>
            <w:r>
              <w:rPr>
                <w:color w:val="000000"/>
                <w:szCs w:val="28"/>
              </w:rPr>
              <w:t>и в сети Интернет, научно-технических, нормативных каталогах и библиотеках (ОПК-4.1)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Объясняет требования нормативных актов в целях обеспечения экологической безопасности в промышленности (ОПК-4.2)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разрабатывать нормативно-правовую документацию </w:t>
            </w:r>
            <w:r>
              <w:rPr>
                <w:color w:val="000000"/>
                <w:szCs w:val="28"/>
              </w:rPr>
              <w:t>сферы профессиональной деятельности в соответствующих областях безопасности, проводить экспертизу проектов нормативных правовых актов. (ОПК-5)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мероприятия по надзору и контролю на объекте экономики (ОПК-5.1)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научную экспертизу дей</w:t>
            </w:r>
            <w:r>
              <w:rPr>
                <w:color w:val="000000"/>
                <w:szCs w:val="28"/>
              </w:rPr>
              <w:t>ствующих и разрабатываемых нормативно-правовых актов (ОПК-5.2)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</w:t>
            </w:r>
            <w:r>
              <w:rPr>
                <w:color w:val="000000"/>
                <w:szCs w:val="28"/>
              </w:rPr>
              <w:t>: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экспертный, надзорный и инспекционно-аудиторский</w:t>
            </w:r>
          </w:p>
        </w:tc>
      </w:tr>
      <w:tr w:rsidR="009C2ED9" w:rsidTr="00F126B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проводить экспертизу, определять и документировать экологические аспекты деятельности, продукции организации и связанных с ними экологических воздействий (ПК-1)  (Определена на основании </w:t>
            </w:r>
            <w:r>
              <w:rPr>
                <w:color w:val="000000"/>
                <w:szCs w:val="28"/>
              </w:rPr>
              <w:t>профессионального стандарта 40.117 «Специалист по экологической безопасности (в промышленности)», обобщенной трудовой функции «Разработка и проведение мероприятий по повышению эффективности природоохранной деятельности организации»)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научное соп</w:t>
            </w:r>
            <w:r>
              <w:rPr>
                <w:color w:val="000000"/>
                <w:szCs w:val="28"/>
              </w:rPr>
              <w:t>ровождение новых проектных решений и разработок, участвует в разработке технических регламентов и их нормативно-правовом сопровождении (ПК-1.1)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экспертизы безопасности и экологичности технических проектов, производств, промышленных предприятий (</w:t>
            </w:r>
            <w:r>
              <w:rPr>
                <w:color w:val="000000"/>
                <w:szCs w:val="28"/>
              </w:rPr>
              <w:t>ПК-1.2)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возможности развития технологических процессов предприятий, определяет их соответствие наилучшим доступным технологиям (ПК-1.3)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мониторинг, осуществлять надзор и устанавливать причинно-следственные связи между деяте</w:t>
            </w:r>
            <w:r>
              <w:rPr>
                <w:color w:val="000000"/>
                <w:szCs w:val="28"/>
              </w:rPr>
              <w:t xml:space="preserve">льностью организации и фактическими или возможными изменениями в окружающей среде. (ПК-2)  (Определена на основании профессионального стандарта 40.117 «Специалист по экологической безопасности (в промышленности)», обобщенной трудовой функции «Разработка и </w:t>
            </w:r>
            <w:r>
              <w:rPr>
                <w:color w:val="000000"/>
                <w:szCs w:val="28"/>
              </w:rPr>
              <w:t>проведение мероприятий по повышению эффективности природоохранной деятельности организации»)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контроль входных и выходных потоков для технологических процессов, отдельных производственных подразделений и предприятий в целом (ПК-2.1)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</w:t>
            </w:r>
            <w:r>
              <w:rPr>
                <w:color w:val="000000"/>
                <w:szCs w:val="28"/>
              </w:rPr>
              <w:t>вляет надзор за соблюдением требований экологической и промышленной безопасности, снижением негативного воздействия на человека и среду обитания (ПК-2.2)</w:t>
            </w:r>
          </w:p>
          <w:p w:rsidR="009C2ED9" w:rsidRDefault="00F126B7" w:rsidP="00F126B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рекомендации по повышению уровня экологической безопасности объекта (ПК-2.3)</w:t>
            </w:r>
          </w:p>
        </w:tc>
      </w:tr>
    </w:tbl>
    <w:p w:rsidR="009C2ED9" w:rsidRDefault="009C2ED9"/>
    <w:sectPr w:rsidR="009C2ED9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C2ED9"/>
    <w:rsid w:val="00D31453"/>
    <w:rsid w:val="00E209E2"/>
    <w:rsid w:val="00F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324FF0-D323-41C2-AE9F-4CBC4B9B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2021-11-25T15:02:00Z</dcterms:created>
  <dcterms:modified xsi:type="dcterms:W3CDTF">2021-11-25T15:02:00Z</dcterms:modified>
</cp:coreProperties>
</file>