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1857"/>
        <w:gridCol w:w="3520"/>
        <w:gridCol w:w="539"/>
      </w:tblGrid>
      <w:tr w:rsidR="00206F81">
        <w:trPr>
          <w:trHeight w:hRule="exact" w:val="1805"/>
        </w:trPr>
        <w:tc>
          <w:tcPr>
            <w:tcW w:w="3828" w:type="dxa"/>
          </w:tcPr>
          <w:p w:rsidR="00206F81" w:rsidRDefault="00206F81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206F81" w:rsidRDefault="00855311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206F81" w:rsidRDefault="00206F81"/>
        </w:tc>
        <w:tc>
          <w:tcPr>
            <w:tcW w:w="568" w:type="dxa"/>
          </w:tcPr>
          <w:p w:rsidR="00206F81" w:rsidRDefault="00206F81"/>
        </w:tc>
      </w:tr>
      <w:tr w:rsidR="00206F81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6F81" w:rsidRDefault="0085531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206F81" w:rsidRDefault="0085531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206F81" w:rsidRDefault="0085531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206F81" w:rsidRDefault="0085531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206F81">
        <w:trPr>
          <w:trHeight w:hRule="exact" w:val="277"/>
        </w:trPr>
        <w:tc>
          <w:tcPr>
            <w:tcW w:w="3828" w:type="dxa"/>
          </w:tcPr>
          <w:p w:rsidR="00206F81" w:rsidRDefault="00206F81"/>
        </w:tc>
        <w:tc>
          <w:tcPr>
            <w:tcW w:w="1702" w:type="dxa"/>
          </w:tcPr>
          <w:p w:rsidR="00206F81" w:rsidRDefault="00206F81"/>
        </w:tc>
        <w:tc>
          <w:tcPr>
            <w:tcW w:w="3545" w:type="dxa"/>
          </w:tcPr>
          <w:p w:rsidR="00206F81" w:rsidRDefault="00206F81"/>
        </w:tc>
        <w:tc>
          <w:tcPr>
            <w:tcW w:w="568" w:type="dxa"/>
          </w:tcPr>
          <w:p w:rsidR="00206F81" w:rsidRDefault="00206F81"/>
        </w:tc>
      </w:tr>
      <w:tr w:rsidR="00206F81">
        <w:trPr>
          <w:trHeight w:hRule="exact" w:val="416"/>
        </w:trPr>
        <w:tc>
          <w:tcPr>
            <w:tcW w:w="3828" w:type="dxa"/>
          </w:tcPr>
          <w:p w:rsidR="00206F81" w:rsidRDefault="00206F81"/>
        </w:tc>
        <w:tc>
          <w:tcPr>
            <w:tcW w:w="1702" w:type="dxa"/>
          </w:tcPr>
          <w:p w:rsidR="00206F81" w:rsidRDefault="00206F81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206F81" w:rsidRDefault="00206F81"/>
        </w:tc>
      </w:tr>
      <w:tr w:rsidR="00206F81">
        <w:trPr>
          <w:trHeight w:hRule="exact" w:val="416"/>
        </w:trPr>
        <w:tc>
          <w:tcPr>
            <w:tcW w:w="3828" w:type="dxa"/>
          </w:tcPr>
          <w:p w:rsidR="00206F81" w:rsidRDefault="00206F81"/>
        </w:tc>
        <w:tc>
          <w:tcPr>
            <w:tcW w:w="1702" w:type="dxa"/>
          </w:tcPr>
          <w:p w:rsidR="00206F81" w:rsidRDefault="00206F81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206F81" w:rsidRDefault="00206F81"/>
        </w:tc>
      </w:tr>
      <w:tr w:rsidR="00206F81">
        <w:trPr>
          <w:trHeight w:hRule="exact" w:val="555"/>
        </w:trPr>
        <w:tc>
          <w:tcPr>
            <w:tcW w:w="3828" w:type="dxa"/>
          </w:tcPr>
          <w:p w:rsidR="00206F81" w:rsidRDefault="00206F81"/>
        </w:tc>
        <w:tc>
          <w:tcPr>
            <w:tcW w:w="1702" w:type="dxa"/>
          </w:tcPr>
          <w:p w:rsidR="00206F81" w:rsidRDefault="00206F81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6F81" w:rsidRDefault="008553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206F81" w:rsidRDefault="00206F81"/>
        </w:tc>
      </w:tr>
      <w:tr w:rsidR="00206F81">
        <w:trPr>
          <w:trHeight w:hRule="exact" w:val="416"/>
        </w:trPr>
        <w:tc>
          <w:tcPr>
            <w:tcW w:w="3828" w:type="dxa"/>
          </w:tcPr>
          <w:p w:rsidR="00206F81" w:rsidRDefault="00206F81"/>
        </w:tc>
        <w:tc>
          <w:tcPr>
            <w:tcW w:w="1702" w:type="dxa"/>
          </w:tcPr>
          <w:p w:rsidR="00206F81" w:rsidRDefault="00206F81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06F81" w:rsidRDefault="008553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206F81" w:rsidRDefault="00206F81"/>
        </w:tc>
      </w:tr>
      <w:tr w:rsidR="00206F81">
        <w:trPr>
          <w:trHeight w:hRule="exact" w:val="555"/>
        </w:trPr>
        <w:tc>
          <w:tcPr>
            <w:tcW w:w="3828" w:type="dxa"/>
          </w:tcPr>
          <w:p w:rsidR="00206F81" w:rsidRDefault="00206F81"/>
        </w:tc>
        <w:tc>
          <w:tcPr>
            <w:tcW w:w="1702" w:type="dxa"/>
          </w:tcPr>
          <w:p w:rsidR="00206F81" w:rsidRDefault="00206F81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206F81" w:rsidRDefault="00206F81"/>
        </w:tc>
        <w:tc>
          <w:tcPr>
            <w:tcW w:w="568" w:type="dxa"/>
          </w:tcPr>
          <w:p w:rsidR="00206F81" w:rsidRDefault="00206F81"/>
        </w:tc>
      </w:tr>
      <w:tr w:rsidR="00206F81">
        <w:trPr>
          <w:trHeight w:hRule="exact" w:val="277"/>
        </w:trPr>
        <w:tc>
          <w:tcPr>
            <w:tcW w:w="3828" w:type="dxa"/>
          </w:tcPr>
          <w:p w:rsidR="00206F81" w:rsidRDefault="00206F81"/>
        </w:tc>
        <w:tc>
          <w:tcPr>
            <w:tcW w:w="1702" w:type="dxa"/>
          </w:tcPr>
          <w:p w:rsidR="00206F81" w:rsidRDefault="00206F81"/>
        </w:tc>
        <w:tc>
          <w:tcPr>
            <w:tcW w:w="3545" w:type="dxa"/>
          </w:tcPr>
          <w:p w:rsidR="00206F81" w:rsidRDefault="00206F81"/>
        </w:tc>
        <w:tc>
          <w:tcPr>
            <w:tcW w:w="568" w:type="dxa"/>
          </w:tcPr>
          <w:p w:rsidR="00206F81" w:rsidRDefault="00206F81"/>
        </w:tc>
      </w:tr>
      <w:tr w:rsidR="00206F81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6F81" w:rsidRDefault="0085531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206F81" w:rsidRDefault="0085531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206F81">
        <w:trPr>
          <w:trHeight w:hRule="exact" w:val="277"/>
        </w:trPr>
        <w:tc>
          <w:tcPr>
            <w:tcW w:w="3828" w:type="dxa"/>
          </w:tcPr>
          <w:p w:rsidR="00206F81" w:rsidRDefault="00206F81"/>
        </w:tc>
        <w:tc>
          <w:tcPr>
            <w:tcW w:w="1702" w:type="dxa"/>
          </w:tcPr>
          <w:p w:rsidR="00206F81" w:rsidRDefault="00206F81"/>
        </w:tc>
        <w:tc>
          <w:tcPr>
            <w:tcW w:w="3545" w:type="dxa"/>
          </w:tcPr>
          <w:p w:rsidR="00206F81" w:rsidRDefault="00206F81"/>
        </w:tc>
        <w:tc>
          <w:tcPr>
            <w:tcW w:w="568" w:type="dxa"/>
          </w:tcPr>
          <w:p w:rsidR="00206F81" w:rsidRDefault="00206F81"/>
        </w:tc>
      </w:tr>
      <w:tr w:rsidR="00206F81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19.03.01 Биотехнология</w:t>
            </w:r>
          </w:p>
        </w:tc>
      </w:tr>
      <w:tr w:rsidR="00206F81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Профиль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Биотехнология</w:t>
            </w:r>
          </w:p>
        </w:tc>
      </w:tr>
      <w:tr w:rsidR="00206F81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бакалавр</w:t>
            </w:r>
          </w:p>
        </w:tc>
      </w:tr>
      <w:tr w:rsidR="00206F81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206F81">
        <w:trPr>
          <w:trHeight w:hRule="exact" w:val="4139"/>
        </w:trPr>
        <w:tc>
          <w:tcPr>
            <w:tcW w:w="3828" w:type="dxa"/>
          </w:tcPr>
          <w:p w:rsidR="00206F81" w:rsidRDefault="00206F81"/>
        </w:tc>
        <w:tc>
          <w:tcPr>
            <w:tcW w:w="1702" w:type="dxa"/>
          </w:tcPr>
          <w:p w:rsidR="00206F81" w:rsidRDefault="00206F81"/>
        </w:tc>
        <w:tc>
          <w:tcPr>
            <w:tcW w:w="3545" w:type="dxa"/>
          </w:tcPr>
          <w:p w:rsidR="00206F81" w:rsidRDefault="00206F81"/>
        </w:tc>
        <w:tc>
          <w:tcPr>
            <w:tcW w:w="568" w:type="dxa"/>
          </w:tcPr>
          <w:p w:rsidR="00206F81" w:rsidRDefault="00206F81"/>
        </w:tc>
      </w:tr>
      <w:tr w:rsidR="00206F81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06F81" w:rsidRDefault="0085531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206F81" w:rsidRDefault="0085531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общекультурных,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19.03.01</w:t>
            </w:r>
            <w:r>
              <w:t xml:space="preserve"> </w:t>
            </w:r>
            <w:r>
              <w:rPr>
                <w:color w:val="000000"/>
                <w:szCs w:val="28"/>
              </w:rPr>
              <w:t>Биотехнология.</w:t>
            </w:r>
            <w:r>
              <w:t xml:space="preserve"> 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</w:t>
            </w:r>
            <w:r>
              <w:rPr>
                <w:color w:val="000000"/>
                <w:szCs w:val="28"/>
              </w:rPr>
              <w:t>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206F81" w:rsidRDefault="00855311" w:rsidP="0085531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206F81" w:rsidTr="0085531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206F81" w:rsidTr="0085531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государственный образовательный стандарт высшего образования (ФГОС ВО) по направлению</w:t>
            </w:r>
            <w:r>
              <w:rPr>
                <w:color w:val="000000"/>
                <w:szCs w:val="28"/>
              </w:rPr>
              <w:t xml:space="preserve"> подготовки 19.03.01 Биотехнология, утвержденный приказом Министерства образования и науки Российской Федерации от 11 марта 2015 года № 193;</w:t>
            </w:r>
          </w:p>
        </w:tc>
      </w:tr>
      <w:tr w:rsidR="00206F81" w:rsidTr="0085531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организации и осуществления образовательной деятельности по образовательным программам высшего образован</w:t>
            </w:r>
            <w:r>
              <w:rPr>
                <w:color w:val="000000"/>
                <w:szCs w:val="28"/>
              </w:rPr>
              <w:t>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 образовательной деятельности);</w:t>
            </w:r>
          </w:p>
        </w:tc>
      </w:tr>
      <w:tr w:rsidR="00206F81" w:rsidTr="0085531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Устав федерального государственного бюджетно</w:t>
            </w:r>
            <w:r>
              <w:rPr>
                <w:color w:val="000000"/>
                <w:szCs w:val="28"/>
              </w:rPr>
              <w:t>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206F81" w:rsidTr="0085531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Трудоемкость освоения студентом ОП ВО в</w:t>
            </w:r>
            <w:r>
              <w:rPr>
                <w:color w:val="000000"/>
                <w:szCs w:val="28"/>
              </w:rPr>
              <w:t xml:space="preserve"> соответствии с ФГОС ВО по данному направлению 240 зачетных 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</w:t>
            </w:r>
            <w:r>
              <w:rPr>
                <w:b/>
                <w:color w:val="000000"/>
                <w:szCs w:val="28"/>
              </w:rPr>
              <w:t>грамме</w:t>
            </w:r>
          </w:p>
        </w:tc>
      </w:tr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4 года.</w:t>
            </w:r>
          </w:p>
        </w:tc>
      </w:tr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Может </w:t>
            </w:r>
            <w:r>
              <w:rPr>
                <w:color w:val="000000"/>
                <w:szCs w:val="28"/>
              </w:rPr>
              <w:t>реализовываться с применением электронного обучения и дистанционных образовательных технологий.</w:t>
            </w:r>
          </w:p>
        </w:tc>
      </w:tr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ОПОП ВО не содержит сведений, составляющих </w:t>
            </w:r>
            <w:r>
              <w:rPr>
                <w:color w:val="000000"/>
                <w:szCs w:val="28"/>
              </w:rPr>
              <w:t>государственную тайну.</w:t>
            </w:r>
          </w:p>
        </w:tc>
      </w:tr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Область профессиональной деятельности</w:t>
            </w:r>
            <w:r>
              <w:rPr>
                <w:color w:val="000000"/>
                <w:szCs w:val="28"/>
              </w:rPr>
              <w:t xml:space="preserve"> выпускников, освоивших программу бакалавриата, включает: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получение, исследование и применение ферментов, вирусов, микроорганизмов, клеточных культур животных и растений, продуктов их биосинтеза и биотрансформации;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технологии получения продукции с использо</w:t>
            </w:r>
            <w:r>
              <w:rPr>
                <w:color w:val="000000"/>
                <w:szCs w:val="28"/>
              </w:rPr>
              <w:t>ванием микробиологического синтеза, биокатализа, генной инженерии и нанобиотехнологий;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эксплуатацию и управления качеством биотехнологических производств с соблюдением требований национальных и международных нормативных актов;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организацию и проведение конт</w:t>
            </w:r>
            <w:r>
              <w:rPr>
                <w:color w:val="000000"/>
                <w:szCs w:val="28"/>
              </w:rPr>
              <w:t>роля качества сырья, промежуточных продуктов и готовой продукции.</w:t>
            </w:r>
          </w:p>
        </w:tc>
      </w:tr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Объекты профессиональной деятельности выпускника</w:t>
            </w:r>
          </w:p>
        </w:tc>
      </w:tr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Объектами профессиональной деятельности выпускников, освоивших программу бакалавриата, являются: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микроорганизмы, клеточные культуры </w:t>
            </w:r>
            <w:r>
              <w:rPr>
                <w:color w:val="000000"/>
                <w:szCs w:val="28"/>
              </w:rPr>
              <w:t>животных и растений, вирусы, ферменты, биологически активные химические вещества;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приборы и оборудование для исследования свойств используемых микроорганизмов, клеточных культур и получаемых с их помощью веществ в лабораторных и промышленных условиях;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уста</w:t>
            </w:r>
            <w:r>
              <w:rPr>
                <w:color w:val="000000"/>
                <w:szCs w:val="28"/>
              </w:rPr>
              <w:t>новки и оборудование для проведения биотехнологических процессов;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средства контроля качества сырья, полуфабрикатов и готовой продукции;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средства оценки состояния окружающей среды и защиты ее от влияния промышленного производства.</w:t>
            </w:r>
          </w:p>
        </w:tc>
      </w:tr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Виды профессиональной</w:t>
            </w:r>
            <w:r>
              <w:rPr>
                <w:b/>
                <w:color w:val="000000"/>
                <w:szCs w:val="28"/>
              </w:rPr>
              <w:t xml:space="preserve"> деятельности, к которым готовятся выпускники</w:t>
            </w:r>
          </w:p>
        </w:tc>
      </w:tr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Виды профессиональной деятельности, к которым готовятся выпускники: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научно-исследовательская.</w:t>
            </w:r>
          </w:p>
        </w:tc>
      </w:tr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Задачи профессиональной деятельности выпускника</w:t>
            </w:r>
          </w:p>
        </w:tc>
      </w:tr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Выпускник, освоивший программу, в соответствии с видами </w:t>
            </w:r>
            <w:r>
              <w:rPr>
                <w:color w:val="000000"/>
                <w:szCs w:val="28"/>
              </w:rPr>
              <w:t>профессиональной деятельности, на которые ориентирована программа, должен быть готов решать следующие профессиональные задачи: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научно-исследовательская деятельность: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изучение научно-технической информации, выполнение литературного и патентного поиска по те</w:t>
            </w:r>
            <w:r>
              <w:rPr>
                <w:color w:val="000000"/>
                <w:szCs w:val="28"/>
              </w:rPr>
              <w:t>матике исследования;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математическое моделирование процессов и объектов на базе стандартных пакетов автоматизированного проектирования;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выполнение экспериментальных исследований и испытаний по заданной методике, математическая обработка экспериментальных да</w:t>
            </w:r>
            <w:r>
              <w:rPr>
                <w:color w:val="000000"/>
                <w:szCs w:val="28"/>
              </w:rPr>
              <w:t>нных;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участие во внедрении результатов исследований и разработок;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подготовка данных для составления отчетов, обзоров, научных публикаций;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участие в мероприятиях по защите объектов интеллектуальной собственности.</w:t>
            </w:r>
          </w:p>
        </w:tc>
      </w:tr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Квалификация, присваиваемая выпускникам</w:t>
            </w:r>
          </w:p>
        </w:tc>
      </w:tr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«бакалавр».</w:t>
            </w:r>
          </w:p>
        </w:tc>
      </w:tr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Условия реализации образовательной программы</w:t>
            </w:r>
          </w:p>
        </w:tc>
      </w:tr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</w:t>
            </w:r>
            <w:r>
              <w:rPr>
                <w:color w:val="000000"/>
                <w:szCs w:val="28"/>
              </w:rPr>
              <w:t>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Университет обеспечивает </w:t>
            </w:r>
            <w:r>
              <w:rPr>
                <w:color w:val="000000"/>
                <w:szCs w:val="28"/>
              </w:rPr>
              <w:t>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</w:t>
            </w:r>
            <w:r>
              <w:rPr>
                <w:color w:val="000000"/>
                <w:szCs w:val="28"/>
              </w:rPr>
              <w:t>ного образовательного стандарта.</w:t>
            </w:r>
          </w:p>
        </w:tc>
      </w:tr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15. Сведения о профессорско-преподавательском составе, необходимом для реализации программы</w:t>
            </w:r>
          </w:p>
        </w:tc>
      </w:tr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Реализация программы обеспечивается руководящими и научно- педагогическими работниками Университета, а также лицами, привлекаемым</w:t>
            </w:r>
            <w:r>
              <w:rPr>
                <w:color w:val="000000"/>
                <w:szCs w:val="28"/>
              </w:rPr>
              <w:t>и к реализации программы на условиях гражданско-правового договора.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</w:t>
            </w:r>
            <w:r>
              <w:rPr>
                <w:color w:val="000000"/>
                <w:szCs w:val="28"/>
              </w:rPr>
              <w:t>- педагогических работников, реализующих программу, составляет 70 процентов.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</w:t>
            </w:r>
            <w:r>
              <w:rPr>
                <w:color w:val="000000"/>
                <w:szCs w:val="28"/>
              </w:rPr>
              <w:t xml:space="preserve">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 педагогических работников, реализующих программу, составляет 60 процентов.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работников (в приве</w:t>
            </w:r>
            <w:r>
              <w:rPr>
                <w:color w:val="000000"/>
                <w:szCs w:val="28"/>
              </w:rPr>
              <w:t>денных к целочисленным значениям ставок) из числа руководителей и работников организаций, деятельность которых связана с профилем программы (имеющих стаж работы в данной профессиональной области не менее 3 лет), в общем числе работников, реализующих програ</w:t>
            </w:r>
            <w:r>
              <w:rPr>
                <w:color w:val="000000"/>
                <w:szCs w:val="28"/>
              </w:rPr>
              <w:t>мму, составляет 5 процентов.</w:t>
            </w:r>
          </w:p>
        </w:tc>
      </w:tr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штатных научно-педагогических работников (в приведенных к целочисленным значениям ставок) в общем числе научно-педагогических работников, реализующих программу, составляет 50 процентов от общего количества </w:t>
            </w:r>
            <w:r>
              <w:rPr>
                <w:color w:val="000000"/>
                <w:szCs w:val="28"/>
              </w:rPr>
              <w:t>научно-педагогических работников Университета.</w:t>
            </w:r>
          </w:p>
        </w:tc>
      </w:tr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</w:t>
            </w:r>
            <w:r>
              <w:rPr>
                <w:color w:val="000000"/>
                <w:szCs w:val="28"/>
              </w:rPr>
              <w:t xml:space="preserve">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профессиональным </w:t>
            </w:r>
            <w:r>
              <w:rPr>
                <w:color w:val="000000"/>
                <w:szCs w:val="28"/>
              </w:rPr>
              <w:t>стандартам (при наличии).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</w:t>
            </w:r>
            <w:r>
              <w:rPr>
                <w:color w:val="000000"/>
                <w:szCs w:val="28"/>
              </w:rPr>
              <w:t>емы образования, утверждаемого Минобрнауки России.</w:t>
            </w:r>
          </w:p>
        </w:tc>
      </w:tr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16. Планируемые результаты освоения программы</w:t>
            </w:r>
          </w:p>
        </w:tc>
      </w:tr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 результате освоения программы у выпускника должны быть сформированы общекультурные, общепрофессиональные и профессиональные компетенции.</w:t>
            </w:r>
          </w:p>
        </w:tc>
      </w:tr>
      <w:tr w:rsidR="00206F81" w:rsidTr="00855311"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</w:t>
            </w:r>
            <w:r>
              <w:rPr>
                <w:color w:val="000000"/>
                <w:szCs w:val="28"/>
              </w:rPr>
              <w:t xml:space="preserve">освоивший программу, должен обладать следующими </w:t>
            </w:r>
            <w:r>
              <w:rPr>
                <w:color w:val="000000"/>
                <w:szCs w:val="28"/>
              </w:rPr>
              <w:lastRenderedPageBreak/>
              <w:t>общекультурными компетенциями: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использовать основы философских знаний для формирования мировоззренческой позиции (ОК-1)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анализировать основные этапы и закономерности исторического ра</w:t>
            </w:r>
            <w:r>
              <w:rPr>
                <w:color w:val="000000"/>
                <w:szCs w:val="28"/>
              </w:rPr>
              <w:t>звития общества для формирования гражданской позиции (ОК-2)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использовать основы экономических знаний в различных сферах деятельности (ОК-3)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использовать основы правовых знаний в различных сферах деятельности (ОК-4)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способностью к </w:t>
            </w:r>
            <w:r>
              <w:rPr>
                <w:color w:val="000000"/>
                <w:szCs w:val="28"/>
              </w:rPr>
              <w:t>коммуникации в устной и письменной формах на русском и иностранном языках для решения задач межличностного и межкультурного взаимодействия (ОК-5)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работать в команде, толерантно воспринимая социальные и культурные различия (ОК-6)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к</w:t>
            </w:r>
            <w:r>
              <w:rPr>
                <w:color w:val="000000"/>
                <w:szCs w:val="28"/>
              </w:rPr>
              <w:t xml:space="preserve"> самоорганизации и самообразованию (ОК-7)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 (ОК-8)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готовностью пользоваться основными методами защиты производственного пер</w:t>
            </w:r>
            <w:r>
              <w:rPr>
                <w:color w:val="000000"/>
                <w:szCs w:val="28"/>
              </w:rPr>
              <w:t>сонала и населения от возможных последствий аварий, катастроф, стихийных бедствий (ОК-9)</w:t>
            </w:r>
          </w:p>
        </w:tc>
      </w:tr>
      <w:tr w:rsidR="00206F81" w:rsidTr="00855311"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206F81" w:rsidP="00855311">
            <w:pPr>
              <w:spacing w:after="0" w:line="360" w:lineRule="auto"/>
            </w:pPr>
          </w:p>
        </w:tc>
      </w:tr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способностью осуществлять поиск, хранение, обработку и анализ </w:t>
            </w:r>
            <w:r>
              <w:rPr>
                <w:color w:val="000000"/>
                <w:szCs w:val="28"/>
              </w:rPr>
              <w:t>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 (ОПК-1)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и готовностью использовать основные законы естественнонаучных дисциплин в профессио</w:t>
            </w:r>
            <w:r>
              <w:rPr>
                <w:color w:val="000000"/>
                <w:szCs w:val="28"/>
              </w:rPr>
              <w:t>нальной деятельности, применять методы математического анализа и моделирования, теоретического и экспериментального исследования (ОПК-2)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использовать знания о современной физической картине мира, пространственно-временных закономерностях, стро</w:t>
            </w:r>
            <w:r>
              <w:rPr>
                <w:color w:val="000000"/>
                <w:szCs w:val="28"/>
              </w:rPr>
              <w:t>ении вещества для понимания окружающего мира и явлений природы (ОПК-3)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понимать значения информации в развитии современного информационного общества, сознанием опасности и угрозы, возникающей в этом процессе, способностью соблюдать основные тр</w:t>
            </w:r>
            <w:r>
              <w:rPr>
                <w:color w:val="000000"/>
                <w:szCs w:val="28"/>
              </w:rPr>
              <w:t>ебования информационной безопасности, в том числе защиты государственной тайны (ОПК-4)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 (ОПК</w:t>
            </w:r>
            <w:r>
              <w:rPr>
                <w:color w:val="000000"/>
                <w:szCs w:val="28"/>
              </w:rPr>
              <w:t>-5)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владением основными методами защиты производственного персонала и населения от возможных последствий аварий, катастроф, стихийных бедствий (ОПК-6)</w:t>
            </w:r>
          </w:p>
        </w:tc>
      </w:tr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профессиональными компетенциями, соответствующими </w:t>
            </w:r>
            <w:r>
              <w:rPr>
                <w:color w:val="000000"/>
                <w:szCs w:val="28"/>
              </w:rPr>
              <w:t>виду(видам) профессиональной деятельности, на который (которые) ориентирована программа:</w:t>
            </w:r>
          </w:p>
        </w:tc>
      </w:tr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научно-исследовательская</w:t>
            </w:r>
          </w:p>
        </w:tc>
      </w:tr>
      <w:tr w:rsidR="00206F81" w:rsidTr="0085531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владением планирования эксперимента, обработки и представления полученных результатов (ПК-10)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готовностью использовать современные </w:t>
            </w:r>
            <w:r>
              <w:rPr>
                <w:color w:val="000000"/>
                <w:szCs w:val="28"/>
              </w:rPr>
              <w:t>информационные технологии в своей профессиональной области, в том числе базы данных и пакеты прикладных программ (ПК-11)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работать с научно-технической информацией, использовать российский и международный опыт в профессиональной деятельности (П</w:t>
            </w:r>
            <w:r>
              <w:rPr>
                <w:color w:val="000000"/>
                <w:szCs w:val="28"/>
              </w:rPr>
              <w:t>К-8)</w:t>
            </w:r>
          </w:p>
          <w:p w:rsidR="00206F81" w:rsidRDefault="00855311" w:rsidP="0085531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проводить стандартные и сертификационные испытания сырья, готовой продукции и технологических процессов (ПК-9)</w:t>
            </w:r>
          </w:p>
        </w:tc>
      </w:tr>
    </w:tbl>
    <w:p w:rsidR="00206F81" w:rsidRDefault="00206F81"/>
    <w:sectPr w:rsidR="00206F81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06F81"/>
    <w:rsid w:val="0085531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C634AD-C891-404E-BB3C-B12FE0D9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Admin</cp:lastModifiedBy>
  <cp:revision>2</cp:revision>
  <dcterms:created xsi:type="dcterms:W3CDTF">2021-11-25T13:39:00Z</dcterms:created>
  <dcterms:modified xsi:type="dcterms:W3CDTF">2021-11-25T13:39:00Z</dcterms:modified>
</cp:coreProperties>
</file>