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B" w:rsidRDefault="0046489B" w:rsidP="0046489B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16104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46489B" w:rsidRDefault="00161044" w:rsidP="004648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648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2.6.8</w:t>
      </w:r>
      <w:r w:rsidR="0046489B">
        <w:rPr>
          <w:b/>
          <w:sz w:val="36"/>
          <w:szCs w:val="36"/>
        </w:rPr>
        <w:t xml:space="preserve"> «</w:t>
      </w:r>
      <w:r w:rsidR="0046489B" w:rsidRPr="0046489B">
        <w:rPr>
          <w:b/>
          <w:sz w:val="36"/>
          <w:szCs w:val="36"/>
        </w:rPr>
        <w:t>Технология редких, рассеянных и радиоактивных элементов</w:t>
      </w:r>
      <w:r w:rsidR="0046489B">
        <w:rPr>
          <w:b/>
          <w:sz w:val="36"/>
          <w:szCs w:val="36"/>
        </w:rPr>
        <w:t>»</w:t>
      </w:r>
    </w:p>
    <w:p w:rsidR="009E5293" w:rsidRPr="00C46BF8" w:rsidRDefault="00001B09" w:rsidP="0046489B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161044">
        <w:rPr>
          <w:rFonts w:ascii="Times New Roman" w:hAnsi="Times New Roman"/>
          <w:szCs w:val="28"/>
        </w:rPr>
        <w:t>подготовки</w:t>
      </w:r>
      <w:r w:rsidR="00161044">
        <w:rPr>
          <w:rFonts w:ascii="Times New Roman" w:hAnsi="Times New Roman"/>
          <w:szCs w:val="28"/>
        </w:rPr>
        <w:t xml:space="preserve"> научных и</w:t>
      </w:r>
      <w:r w:rsidR="00EF540F" w:rsidRPr="00161044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16104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EF1408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EF1408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31624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готовность</w:t>
      </w:r>
      <w:r w:rsidRPr="00E31624">
        <w:rPr>
          <w:sz w:val="28"/>
          <w:szCs w:val="28"/>
        </w:rPr>
        <w:t xml:space="preserve"> к решению задач по разработке, оптимизации и совершенствованию наукоемких химических технологий редких, рассеянных и платиновых мета</w:t>
      </w:r>
      <w:r>
        <w:rPr>
          <w:sz w:val="28"/>
          <w:szCs w:val="28"/>
        </w:rPr>
        <w:t>ллов и оценке их эффективности</w:t>
      </w:r>
      <w:r w:rsidRPr="00E31624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DA" w:rsidRPr="008B2971" w:rsidRDefault="00A452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452DA" w:rsidRPr="008B2971" w:rsidRDefault="00A452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DA" w:rsidRPr="008B2971" w:rsidRDefault="00A452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452DA" w:rsidRPr="008B2971" w:rsidRDefault="00A452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0106" w:rsidRDefault="007172E0" w:rsidP="00B3010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2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044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89B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94D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2661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2DA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7295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0106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408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9275B"/>
  <w15:docId w15:val="{29746710-070D-4C06-A2C0-A6D10E49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252C-D8C1-4D97-9A76-702CFB43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2017-03-29T09:35:00Z</cp:lastPrinted>
  <dcterms:created xsi:type="dcterms:W3CDTF">2021-12-10T19:30:00Z</dcterms:created>
  <dcterms:modified xsi:type="dcterms:W3CDTF">2021-12-10T19:30:00Z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