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80498E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2.6.10 «Технология органических веществ»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E3A80" w:rsidRPr="00C806A2" w:rsidRDefault="007E3A80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80498E">
        <w:rPr>
          <w:sz w:val="28"/>
          <w:szCs w:val="28"/>
        </w:rPr>
        <w:t>2.6.10 «Технология органических веществ»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2.6.10 «Технология органических веществ»</w:t>
      </w:r>
      <w:r w:rsidR="007E3A80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</w:t>
            </w:r>
            <w:r>
              <w:lastRenderedPageBreak/>
              <w:t>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80498E" w:rsidRPr="0068234C" w:rsidTr="00541FE8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0498E" w:rsidRDefault="0080498E" w:rsidP="0080498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shd w:val="clear" w:color="auto" w:fill="auto"/>
          </w:tcPr>
          <w:p w:rsidR="0080498E" w:rsidRDefault="0080498E" w:rsidP="0080498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80498E" w:rsidRPr="0068234C" w:rsidTr="00CC206A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498E" w:rsidRDefault="0080498E" w:rsidP="0080498E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0498E" w:rsidRPr="00445FC8" w:rsidRDefault="0080498E" w:rsidP="0080498E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2.6.10 «Технология органических веществ»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2.6.10 «Технология органических веществ»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мировоззренческие проблемы, возникающие в науке на совре</w:t>
            </w:r>
            <w:r>
              <w:lastRenderedPageBreak/>
              <w:t xml:space="preserve">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</w:t>
            </w:r>
            <w:r>
              <w:lastRenderedPageBreak/>
              <w:t>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</w:t>
            </w:r>
            <w:r>
              <w:lastRenderedPageBreak/>
              <w:t>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</w:t>
            </w:r>
            <w:r>
              <w:rPr>
                <w:rFonts w:eastAsia="TimesNewRomanPSMT"/>
              </w:rPr>
              <w:lastRenderedPageBreak/>
              <w:t>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80498E" w:rsidTr="00D4182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8E" w:rsidRDefault="0080498E" w:rsidP="0080498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0498E" w:rsidRDefault="0080498E" w:rsidP="0080498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0498E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8E" w:rsidRDefault="0080498E" w:rsidP="0080498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0498E" w:rsidRDefault="0080498E" w:rsidP="0080498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0498E" w:rsidRDefault="0080498E" w:rsidP="0080498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0498E" w:rsidRDefault="0080498E" w:rsidP="0080498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8E" w:rsidRDefault="0080498E" w:rsidP="0080498E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Сформированные, но содержащие отдельные </w:t>
            </w:r>
            <w:r w:rsidRPr="0076751C">
              <w:lastRenderedPageBreak/>
              <w:t>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Современные тенденции развития высшего образования за рубежом </w:t>
      </w:r>
      <w:r w:rsidRPr="00D74402">
        <w:rPr>
          <w:sz w:val="28"/>
          <w:szCs w:val="28"/>
        </w:rPr>
        <w:lastRenderedPageBreak/>
        <w:t>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 xml:space="preserve">, Т.Д. Михайленко, </w:t>
      </w:r>
      <w:r>
        <w:rPr>
          <w:color w:val="111111"/>
          <w:sz w:val="28"/>
          <w:szCs w:val="28"/>
        </w:rPr>
        <w:lastRenderedPageBreak/>
        <w:t>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13C37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80498E">
        <w:rPr>
          <w:sz w:val="28"/>
          <w:szCs w:val="28"/>
        </w:rPr>
        <w:t>2</w:t>
      </w:r>
      <w:r w:rsidR="0080498E" w:rsidRPr="0080498E">
        <w:rPr>
          <w:sz w:val="28"/>
          <w:szCs w:val="28"/>
        </w:rPr>
        <w:t>.6.10 «Технология органических веществ»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D6" w:rsidRDefault="00AC65D6" w:rsidP="00E76C7A">
      <w:r>
        <w:separator/>
      </w:r>
    </w:p>
  </w:endnote>
  <w:endnote w:type="continuationSeparator" w:id="0">
    <w:p w:rsidR="00AC65D6" w:rsidRDefault="00AC65D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D6" w:rsidRDefault="00AC65D6" w:rsidP="00E76C7A">
      <w:r>
        <w:separator/>
      </w:r>
    </w:p>
  </w:footnote>
  <w:footnote w:type="continuationSeparator" w:id="0">
    <w:p w:rsidR="00AC65D6" w:rsidRDefault="00AC65D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0F4A8D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0E19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1B3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A5200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3A8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498E"/>
    <w:rsid w:val="00807C64"/>
    <w:rsid w:val="0081044F"/>
    <w:rsid w:val="00814871"/>
    <w:rsid w:val="0081490C"/>
    <w:rsid w:val="00815193"/>
    <w:rsid w:val="008202A5"/>
    <w:rsid w:val="00823194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C65D6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2342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848D2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3C444-1DFA-4B0A-835C-B3F11C7B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7432</Words>
  <Characters>42366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2021-12-17T19:34:00Z</dcterms:created>
  <dcterms:modified xsi:type="dcterms:W3CDTF">2021-12-17T19:34:00Z</dcterms:modified>
</cp:coreProperties>
</file>