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545660">
        <w:trPr>
          <w:trHeight w:hRule="exact" w:val="1805"/>
        </w:trPr>
        <w:tc>
          <w:tcPr>
            <w:tcW w:w="3828" w:type="dxa"/>
          </w:tcPr>
          <w:p w:rsidR="00545660" w:rsidRDefault="00545660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545660" w:rsidRDefault="00810AB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45660" w:rsidRDefault="00545660"/>
        </w:tc>
        <w:tc>
          <w:tcPr>
            <w:tcW w:w="568" w:type="dxa"/>
          </w:tcPr>
          <w:p w:rsidR="00545660" w:rsidRDefault="00545660"/>
        </w:tc>
      </w:tr>
      <w:tr w:rsidR="00545660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660" w:rsidRDefault="00810AB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545660" w:rsidRDefault="00810AB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545660" w:rsidRDefault="00810AB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545660" w:rsidRDefault="00810AB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545660">
        <w:trPr>
          <w:trHeight w:hRule="exact" w:val="277"/>
        </w:trPr>
        <w:tc>
          <w:tcPr>
            <w:tcW w:w="3828" w:type="dxa"/>
          </w:tcPr>
          <w:p w:rsidR="00545660" w:rsidRDefault="00545660"/>
        </w:tc>
        <w:tc>
          <w:tcPr>
            <w:tcW w:w="1702" w:type="dxa"/>
          </w:tcPr>
          <w:p w:rsidR="00545660" w:rsidRDefault="00545660"/>
        </w:tc>
        <w:tc>
          <w:tcPr>
            <w:tcW w:w="3545" w:type="dxa"/>
          </w:tcPr>
          <w:p w:rsidR="00545660" w:rsidRDefault="00545660"/>
        </w:tc>
        <w:tc>
          <w:tcPr>
            <w:tcW w:w="568" w:type="dxa"/>
          </w:tcPr>
          <w:p w:rsidR="00545660" w:rsidRDefault="00545660"/>
        </w:tc>
      </w:tr>
      <w:tr w:rsidR="00545660">
        <w:trPr>
          <w:trHeight w:hRule="exact" w:val="416"/>
        </w:trPr>
        <w:tc>
          <w:tcPr>
            <w:tcW w:w="3828" w:type="dxa"/>
          </w:tcPr>
          <w:p w:rsidR="00545660" w:rsidRDefault="00545660"/>
        </w:tc>
        <w:tc>
          <w:tcPr>
            <w:tcW w:w="1702" w:type="dxa"/>
          </w:tcPr>
          <w:p w:rsidR="00545660" w:rsidRDefault="00545660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545660" w:rsidRDefault="00545660"/>
        </w:tc>
      </w:tr>
      <w:tr w:rsidR="00545660">
        <w:trPr>
          <w:trHeight w:hRule="exact" w:val="416"/>
        </w:trPr>
        <w:tc>
          <w:tcPr>
            <w:tcW w:w="3828" w:type="dxa"/>
          </w:tcPr>
          <w:p w:rsidR="00545660" w:rsidRDefault="00545660"/>
        </w:tc>
        <w:tc>
          <w:tcPr>
            <w:tcW w:w="1702" w:type="dxa"/>
          </w:tcPr>
          <w:p w:rsidR="00545660" w:rsidRDefault="00545660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545660" w:rsidRDefault="00545660"/>
        </w:tc>
      </w:tr>
      <w:tr w:rsidR="00545660">
        <w:trPr>
          <w:trHeight w:hRule="exact" w:val="555"/>
        </w:trPr>
        <w:tc>
          <w:tcPr>
            <w:tcW w:w="3828" w:type="dxa"/>
          </w:tcPr>
          <w:p w:rsidR="00545660" w:rsidRDefault="00545660"/>
        </w:tc>
        <w:tc>
          <w:tcPr>
            <w:tcW w:w="1702" w:type="dxa"/>
          </w:tcPr>
          <w:p w:rsidR="00545660" w:rsidRDefault="00545660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660" w:rsidRDefault="00810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545660" w:rsidRDefault="00545660"/>
        </w:tc>
      </w:tr>
      <w:tr w:rsidR="00545660">
        <w:trPr>
          <w:trHeight w:hRule="exact" w:val="416"/>
        </w:trPr>
        <w:tc>
          <w:tcPr>
            <w:tcW w:w="3828" w:type="dxa"/>
          </w:tcPr>
          <w:p w:rsidR="00545660" w:rsidRDefault="00545660"/>
        </w:tc>
        <w:tc>
          <w:tcPr>
            <w:tcW w:w="1702" w:type="dxa"/>
          </w:tcPr>
          <w:p w:rsidR="00545660" w:rsidRDefault="00545660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45660" w:rsidRDefault="00810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545660" w:rsidRDefault="00545660"/>
        </w:tc>
      </w:tr>
      <w:tr w:rsidR="00545660">
        <w:trPr>
          <w:trHeight w:hRule="exact" w:val="555"/>
        </w:trPr>
        <w:tc>
          <w:tcPr>
            <w:tcW w:w="3828" w:type="dxa"/>
          </w:tcPr>
          <w:p w:rsidR="00545660" w:rsidRDefault="00545660"/>
        </w:tc>
        <w:tc>
          <w:tcPr>
            <w:tcW w:w="1702" w:type="dxa"/>
          </w:tcPr>
          <w:p w:rsidR="00545660" w:rsidRDefault="00545660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545660" w:rsidRDefault="00545660"/>
        </w:tc>
        <w:tc>
          <w:tcPr>
            <w:tcW w:w="568" w:type="dxa"/>
          </w:tcPr>
          <w:p w:rsidR="00545660" w:rsidRDefault="00545660"/>
        </w:tc>
      </w:tr>
      <w:tr w:rsidR="00545660">
        <w:trPr>
          <w:trHeight w:hRule="exact" w:val="277"/>
        </w:trPr>
        <w:tc>
          <w:tcPr>
            <w:tcW w:w="3828" w:type="dxa"/>
          </w:tcPr>
          <w:p w:rsidR="00545660" w:rsidRDefault="00545660"/>
        </w:tc>
        <w:tc>
          <w:tcPr>
            <w:tcW w:w="1702" w:type="dxa"/>
          </w:tcPr>
          <w:p w:rsidR="00545660" w:rsidRDefault="00545660"/>
        </w:tc>
        <w:tc>
          <w:tcPr>
            <w:tcW w:w="3545" w:type="dxa"/>
          </w:tcPr>
          <w:p w:rsidR="00545660" w:rsidRDefault="00545660"/>
        </w:tc>
        <w:tc>
          <w:tcPr>
            <w:tcW w:w="568" w:type="dxa"/>
          </w:tcPr>
          <w:p w:rsidR="00545660" w:rsidRDefault="00545660"/>
        </w:tc>
      </w:tr>
      <w:tr w:rsidR="00545660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660" w:rsidRDefault="00810AB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545660" w:rsidRDefault="00810AB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545660">
        <w:trPr>
          <w:trHeight w:hRule="exact" w:val="277"/>
        </w:trPr>
        <w:tc>
          <w:tcPr>
            <w:tcW w:w="3828" w:type="dxa"/>
          </w:tcPr>
          <w:p w:rsidR="00545660" w:rsidRDefault="00545660"/>
        </w:tc>
        <w:tc>
          <w:tcPr>
            <w:tcW w:w="1702" w:type="dxa"/>
          </w:tcPr>
          <w:p w:rsidR="00545660" w:rsidRDefault="00545660"/>
        </w:tc>
        <w:tc>
          <w:tcPr>
            <w:tcW w:w="3545" w:type="dxa"/>
          </w:tcPr>
          <w:p w:rsidR="00545660" w:rsidRDefault="00545660"/>
        </w:tc>
        <w:tc>
          <w:tcPr>
            <w:tcW w:w="568" w:type="dxa"/>
          </w:tcPr>
          <w:p w:rsidR="00545660" w:rsidRDefault="00545660"/>
        </w:tc>
      </w:tr>
      <w:tr w:rsidR="00545660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18.04.01 Химическая технология</w:t>
            </w:r>
          </w:p>
        </w:tc>
      </w:tr>
      <w:tr w:rsidR="00545660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Химическая технология высокомолекулярных и элементоорганических соединений</w:t>
            </w:r>
          </w:p>
        </w:tc>
      </w:tr>
      <w:tr w:rsidR="00545660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545660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545660">
        <w:trPr>
          <w:trHeight w:hRule="exact" w:val="4124"/>
        </w:trPr>
        <w:tc>
          <w:tcPr>
            <w:tcW w:w="3828" w:type="dxa"/>
          </w:tcPr>
          <w:p w:rsidR="00545660" w:rsidRDefault="00545660"/>
        </w:tc>
        <w:tc>
          <w:tcPr>
            <w:tcW w:w="1702" w:type="dxa"/>
          </w:tcPr>
          <w:p w:rsidR="00545660" w:rsidRDefault="00545660"/>
        </w:tc>
        <w:tc>
          <w:tcPr>
            <w:tcW w:w="3545" w:type="dxa"/>
          </w:tcPr>
          <w:p w:rsidR="00545660" w:rsidRDefault="00545660"/>
        </w:tc>
        <w:tc>
          <w:tcPr>
            <w:tcW w:w="568" w:type="dxa"/>
          </w:tcPr>
          <w:p w:rsidR="00545660" w:rsidRDefault="00545660"/>
        </w:tc>
      </w:tr>
      <w:tr w:rsidR="00545660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45660" w:rsidRDefault="00810AB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545660" w:rsidRDefault="00810AB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18.04.01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Химическая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технология.</w:t>
            </w:r>
            <w:r>
              <w:t xml:space="preserve"> 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545660" w:rsidRDefault="00810AB2" w:rsidP="00810AB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545660" w:rsidTr="00810AB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545660" w:rsidTr="00810AB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государственный образовательный стандарт высшего образования (ФГОС ВО) по направлению подготовки 18.04.01 Химическая технология, утвержденный приказом Министерства образования и науки Российской Федерации от 07 августа 2020 года № 910;</w:t>
            </w:r>
          </w:p>
        </w:tc>
      </w:tr>
      <w:tr w:rsidR="00545660" w:rsidTr="00810AB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</w:t>
            </w:r>
            <w:r>
              <w:rPr>
                <w:color w:val="000000"/>
                <w:szCs w:val="28"/>
              </w:rPr>
              <w:t xml:space="preserve">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</w:t>
            </w:r>
            <w:r>
              <w:rPr>
                <w:color w:val="000000"/>
                <w:szCs w:val="28"/>
              </w:rPr>
              <w:t>(далее – Порядок организации образовательной деятельности);</w:t>
            </w:r>
          </w:p>
        </w:tc>
      </w:tr>
      <w:tr w:rsidR="00545660" w:rsidTr="00810AB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40.011 Специалист по научно- исследовательским и опытно-конструкторским разработкам;</w:t>
            </w:r>
          </w:p>
        </w:tc>
      </w:tr>
      <w:tr w:rsidR="00545660" w:rsidTr="00810AB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Устав федерального государственного бюджетного образовательного учреждения </w:t>
            </w:r>
            <w:r>
              <w:rPr>
                <w:color w:val="000000"/>
                <w:szCs w:val="28"/>
              </w:rPr>
              <w:t>высшего образования «МИРЭА - Российский технологический университет»</w:t>
            </w:r>
          </w:p>
        </w:tc>
      </w:tr>
      <w:tr w:rsidR="00545660" w:rsidTr="00810AB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</w:t>
            </w:r>
            <w:r>
              <w:rPr>
                <w:color w:val="000000"/>
                <w:szCs w:val="28"/>
              </w:rPr>
              <w:t>данному направлению 120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</w:t>
            </w:r>
            <w:r>
              <w:rPr>
                <w:color w:val="000000"/>
                <w:szCs w:val="28"/>
              </w:rPr>
              <w:t>зования по программе в очной, включая каникулы, предоставляемые после прохождения государственной итоговой аттестации, составляет 2 года.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Может реализовываться с применением </w:t>
            </w:r>
            <w:r>
              <w:rPr>
                <w:color w:val="000000"/>
                <w:szCs w:val="28"/>
              </w:rPr>
              <w:t>электронного обучения и дистанционных образовательных технологий.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ОПОП ВО не содержит сведений, составляющих государственную тайну.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8. Язык </w:t>
            </w:r>
            <w:r>
              <w:rPr>
                <w:b/>
                <w:color w:val="000000"/>
                <w:szCs w:val="28"/>
              </w:rPr>
              <w:t>образования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Области профессиональной деятельности и сферы профессиональной </w:t>
            </w:r>
            <w:r>
              <w:rPr>
                <w:color w:val="000000"/>
                <w:szCs w:val="28"/>
              </w:rPr>
              <w:t>деятельности, в которых выпускники, освоившие программу, могут осуществлять профессиональную деятельность: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40 Сквозные виды профессиональной деятельности в промышленности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Типы </w:t>
            </w:r>
            <w:r>
              <w:rPr>
                <w:color w:val="000000"/>
                <w:szCs w:val="28"/>
              </w:rPr>
              <w:t>задач профессиональной деятельности, к которым готовятся выпускники: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научно-исследовательский.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«магистр».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</w:t>
            </w:r>
            <w:r>
              <w:rPr>
                <w:color w:val="000000"/>
                <w:szCs w:val="28"/>
              </w:rPr>
              <w:t>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</w:t>
            </w:r>
            <w:r>
              <w:rPr>
                <w:color w:val="000000"/>
                <w:szCs w:val="28"/>
              </w:rPr>
              <w:t>й перечень материально-технического обеспечения (включая программное обеспечение) указан в рабочих программах.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</w:t>
            </w:r>
            <w:r>
              <w:rPr>
                <w:color w:val="000000"/>
                <w:szCs w:val="28"/>
              </w:rPr>
              <w:t>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</w:t>
            </w:r>
            <w:r>
              <w:rPr>
                <w:b/>
                <w:color w:val="000000"/>
                <w:szCs w:val="28"/>
              </w:rPr>
              <w:t>раммы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руководящими и научно-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</w:t>
            </w:r>
            <w:r>
              <w:rPr>
                <w:color w:val="000000"/>
                <w:szCs w:val="28"/>
              </w:rPr>
              <w:t>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ведущих научную, учебно-методическую и (и</w:t>
            </w:r>
            <w:r>
              <w:rPr>
                <w:color w:val="000000"/>
                <w:szCs w:val="28"/>
              </w:rPr>
              <w:t>ли) практическую работу, соответствующую профилю преподаваемой дисциплины (модуля), составляет 70 процентов.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</w:t>
            </w:r>
            <w:r>
              <w:rPr>
                <w:color w:val="000000"/>
                <w:szCs w:val="28"/>
              </w:rPr>
              <w:t>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</w:t>
            </w:r>
            <w:r>
              <w:rPr>
                <w:color w:val="000000"/>
                <w:szCs w:val="28"/>
              </w:rPr>
              <w:t>ранном государстве и признаваемое в Российской Федерации), составляет 75 процентов.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</w:t>
            </w:r>
            <w:r>
              <w:rPr>
                <w:color w:val="000000"/>
                <w:szCs w:val="28"/>
              </w:rPr>
              <w:t>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</w:t>
            </w:r>
            <w:r>
              <w:rPr>
                <w:color w:val="000000"/>
                <w:szCs w:val="28"/>
              </w:rPr>
              <w:t>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руководящих и научно-педагогических работников Университета соответствует квалификационным характеристикам,</w:t>
            </w:r>
            <w:r>
              <w:rPr>
                <w:color w:val="000000"/>
                <w:szCs w:val="28"/>
              </w:rPr>
              <w:t xml:space="preserve">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</w:t>
            </w:r>
            <w:r>
              <w:rPr>
                <w:color w:val="000000"/>
                <w:szCs w:val="28"/>
              </w:rPr>
              <w:t>ия», утвержденном приказом Минздравсоцразвития РФ от 11.01.2011 № 1н и профессиональным стандартам (при наличии).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      </w:r>
            <w:r>
              <w:rPr>
                <w:color w:val="000000"/>
                <w:szCs w:val="28"/>
              </w:rPr>
              <w:t>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результате освоения программы у выпускника должны быть </w:t>
            </w:r>
            <w:r>
              <w:rPr>
                <w:color w:val="000000"/>
                <w:szCs w:val="28"/>
              </w:rPr>
              <w:t>сформированы универсальные, общепрофессиональные и профессиональные компетенции.</w:t>
            </w:r>
          </w:p>
        </w:tc>
      </w:tr>
      <w:tr w:rsidR="00545660" w:rsidTr="00810AB2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критический анализ проблемных ситуаций на основе системного под</w:t>
            </w:r>
            <w:r>
              <w:rPr>
                <w:color w:val="000000"/>
                <w:szCs w:val="28"/>
              </w:rPr>
              <w:t>хода, вырабатывать стратегию действий (УК-1)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проблемную ситуацию как систему, выявляя её составляющие и связи между ними (УК-1.1)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Определяет пробелы в информации, необходимой для решения проблемной ситуации; критически оценивает надежность </w:t>
            </w:r>
            <w:r>
              <w:rPr>
                <w:color w:val="000000"/>
                <w:szCs w:val="28"/>
              </w:rPr>
              <w:t>источников информации (УК-1.2)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 содержательно аргументирует стратегию решения проблемной ситуации на основе системного и междисциплинарного подхода (УК-1.3)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проектом на всех этапах его жизненного цикла (УК-2)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Формирует</w:t>
            </w:r>
            <w:r>
              <w:rPr>
                <w:color w:val="000000"/>
                <w:szCs w:val="28"/>
              </w:rPr>
              <w:t xml:space="preserve"> на основе поставленной проблемы проектную задачу и способ её решения через реализацию проектного управления (УК-2.1)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концепцию проекта в рамках обозначенной проблемы и план реализации проекта с учётом возможных рисков реализации и возможно</w:t>
            </w:r>
            <w:r>
              <w:rPr>
                <w:color w:val="000000"/>
                <w:szCs w:val="28"/>
              </w:rPr>
              <w:t>стей их устранения (УК-2.2)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мониторинг хода реализации проекта, корректирует отклонения, вносит дополнительные изменения в план реализации проекта. (УК-2.3)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и руководить работой команды, вырабатывая командную стратеги</w:t>
            </w:r>
            <w:r>
              <w:rPr>
                <w:color w:val="000000"/>
                <w:szCs w:val="28"/>
              </w:rPr>
              <w:t>ю для достижения поставленной цели (УК-3)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Вырабатывает стратегию командной работы и на её основе организует отбор членов команд для достижения поставленной цели (УК- 3.1)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и корректирует работу команды, в том числе и на основе коллегиальных р</w:t>
            </w:r>
            <w:r>
              <w:rPr>
                <w:color w:val="000000"/>
                <w:szCs w:val="28"/>
              </w:rPr>
              <w:t>ешений (УК-3.2)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Руководит работой команды, разрешает и противоречия на основе учёта интереса всез сторон (УК-3.3)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</w:t>
            </w:r>
            <w:r>
              <w:rPr>
                <w:color w:val="000000"/>
                <w:szCs w:val="28"/>
              </w:rPr>
              <w:t>взаимодействия (УК-4)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деловую переписку для  профессионального взаимодействия в том числе на иностранном языке (УК-4.1)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Представляет результаты своей профессиональной деятельности и участвует в дискуссиях на иностранном языке (УК-4.2)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</w:t>
            </w:r>
            <w:r>
              <w:rPr>
                <w:color w:val="000000"/>
                <w:szCs w:val="28"/>
              </w:rPr>
              <w:t>обен анализировать и учитывать разнообразие культур в процессе межкультурного взаимодействия (УК-5)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важнейшие идеологические и культурные ценности (УК -5.1)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Выстраивает социальное и профессиональное взаимодействие с учётом особенностей дело</w:t>
            </w:r>
            <w:r>
              <w:rPr>
                <w:color w:val="000000"/>
                <w:szCs w:val="28"/>
              </w:rPr>
              <w:t>вой и общей культуры представителей других этносов и конфессий, различных социальных групп (УК-5.2)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(УК-6)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Оценивает свои ресурсы </w:t>
            </w:r>
            <w:r>
              <w:rPr>
                <w:color w:val="000000"/>
                <w:szCs w:val="28"/>
              </w:rPr>
              <w:t>и их пределы (личностные, ситуативные, временные) для успешного выполнения порученного задания (УК-6.1)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образовательные потребности и способы совершенствования собственной(в том числе профессиональной) деятельности па основе самооценки (УК-6.2</w:t>
            </w:r>
            <w:r>
              <w:rPr>
                <w:color w:val="000000"/>
                <w:szCs w:val="28"/>
              </w:rPr>
              <w:t>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и реализует стратегию собственного развития в профессиональной сфере (УК-6.3)</w:t>
            </w:r>
          </w:p>
        </w:tc>
      </w:tr>
      <w:tr w:rsidR="00545660" w:rsidTr="00810AB2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545660" w:rsidP="00810AB2">
            <w:pPr>
              <w:spacing w:after="0" w:line="360" w:lineRule="auto"/>
            </w:pP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самостоятельную и коллективную научно- исс</w:t>
            </w:r>
            <w:r>
              <w:rPr>
                <w:color w:val="000000"/>
                <w:szCs w:val="28"/>
              </w:rPr>
              <w:t>ледовательскую работу, разрабатывать планы и программы проведения научных исследований и технических разработок (ОПК-1)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научно-исследовательскую работу (самостоятельную и коллективную) (ОПК-1.1)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планы проведения научных исследо</w:t>
            </w:r>
            <w:r>
              <w:rPr>
                <w:color w:val="000000"/>
                <w:szCs w:val="28"/>
              </w:rPr>
              <w:t>ваний и технических разработок (ОПК-1.2)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программы проведения научных исследований и технических разработок (ОПК-1.3)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современные приборы и методики, организовывать проведение экспериментов и испытаний, проводить их об</w:t>
            </w:r>
            <w:r>
              <w:rPr>
                <w:color w:val="000000"/>
                <w:szCs w:val="28"/>
              </w:rPr>
              <w:t>работку и анализировать их результаты (ОПК-2)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методики проведения эксперимента и испытаний (ОПК- 2.1)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приборы и методики для проведения научно -исследовательской работы (ОПК-2.2)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Проводит обработку экспериментальных </w:t>
            </w:r>
            <w:r>
              <w:rPr>
                <w:color w:val="000000"/>
                <w:szCs w:val="28"/>
              </w:rPr>
              <w:t>данных (ОПК-2.3)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результаты экспериментов и испытаний (ОПК-2.4)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разрабатывать нормы выработки, технологические нормативы на расход материалов, заготовок, топлива и электроэнергии, контролировать параметры технологического процесса, в</w:t>
            </w:r>
            <w:r>
              <w:rPr>
                <w:color w:val="000000"/>
                <w:szCs w:val="28"/>
              </w:rPr>
              <w:t>ыбирать оборудование и технологическую оснастку (ОПК-3)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нормы расхода материалов и энергоресурсов (ОПК- 3.1)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основные параметры проведения технологического процесса соответствующего профиля (ОПК-3.2)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Контролирует параметры</w:t>
            </w:r>
            <w:r>
              <w:rPr>
                <w:color w:val="000000"/>
                <w:szCs w:val="28"/>
              </w:rPr>
              <w:t xml:space="preserve"> проведения технологического процесса (ОПК-3.3)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оборудование и технологическую оснастку (ОПК-3.4)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находить оптимальные решения при создании продукции с учетом требований качества, надежности и стоимости, а также сроков исполнения, безоп</w:t>
            </w:r>
            <w:r>
              <w:rPr>
                <w:color w:val="000000"/>
                <w:szCs w:val="28"/>
              </w:rPr>
              <w:t>асности жизнедеятельности и экологической чистоты (ОПК-4)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Находит и выбирает оптимальные технологические решения при создании продукции с учетом требований качества, надежности и сроков исполнения (ОПК-4.1)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Моделирует и оптимизирует химико-технологичес</w:t>
            </w:r>
            <w:r>
              <w:rPr>
                <w:color w:val="000000"/>
                <w:szCs w:val="28"/>
              </w:rPr>
              <w:t>кие процессы, используя аналитические и численные методы с учетом требований качества, надежности и стоимости, а также сроков исполнения, безопасности жизнедеятельности и экологической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чистоты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(ОПК-4.2)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На основании проведенных исследований разрабатывает</w:t>
            </w:r>
            <w:r>
              <w:rPr>
                <w:color w:val="000000"/>
                <w:szCs w:val="28"/>
              </w:rPr>
              <w:t xml:space="preserve"> новые технологические процессы с учетом требований качества, надежности, стоимости и патентной чистоты (ОПК-4.3)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</w:t>
            </w:r>
            <w:r>
              <w:rPr>
                <w:color w:val="000000"/>
                <w:szCs w:val="28"/>
              </w:rPr>
              <w:t>ности, на который (которые) ориентирована программа: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научно-исследовательский</w:t>
            </w:r>
          </w:p>
        </w:tc>
      </w:tr>
      <w:tr w:rsidR="00545660" w:rsidTr="00810AB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осуществлять анализ и систематизацию научно-технической информации по теме исследования в соответствии с поставленными задачами, выбирать методы и инструменты решения </w:t>
            </w:r>
            <w:r>
              <w:rPr>
                <w:color w:val="000000"/>
                <w:szCs w:val="28"/>
              </w:rPr>
              <w:t>адекватные задачам и целям исследования в соответствующей области химии, химической технологии и смежных науках (ПК-1)  (Определена на основании профессионального стандарта 40.011 «Специалист по научно- исследовательским и опытно-конструкторским разработка</w:t>
            </w:r>
            <w:r>
              <w:rPr>
                <w:color w:val="000000"/>
                <w:szCs w:val="28"/>
              </w:rPr>
              <w:t>м», обобщенной трудовой функции «Проведение научно-исследовательских и опытно- конструкторских разработок при исследовании самостоятельных тем»)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и систематизирует научно-техническую информацию, составляет поэтапный план исследований (ПК-1.1)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адекватные методы и инструменты решения поставленных задач, позволяющие достичь цели исследований (ПК-1.2)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самостоятельные исследования высокомолекулярных и элементоорганических соединений с использованием физико-химических</w:t>
            </w:r>
            <w:r>
              <w:rPr>
                <w:color w:val="000000"/>
                <w:szCs w:val="28"/>
              </w:rPr>
              <w:t xml:space="preserve"> и прочих методов и устанавливать зависимость между структурой и свойствами (ПК-2)  (Определена на основании профессионального стандарта 40.011 «Специалист по научно- исследовательским и опытно-конструкторским разработкам», обобщенной трудовой функции «Про</w:t>
            </w:r>
            <w:r>
              <w:rPr>
                <w:color w:val="000000"/>
                <w:szCs w:val="28"/>
              </w:rPr>
              <w:t>ведение научно-исследовательских и опытно- конструкторских разработок при исследовании самостоятельных тем»)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необходимый метод исследования структуры и свойств, организует проведение исследований и испытаний, обрабатывает и интерпретирует получе</w:t>
            </w:r>
            <w:r>
              <w:rPr>
                <w:color w:val="000000"/>
                <w:szCs w:val="28"/>
              </w:rPr>
              <w:t>нные результаты (ПК-2.1)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обобщение полученных результатов исследований и испытаний, устанавливает зависимость между структурой и свойствами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высокомолекулярных и элементоорганических соединений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(ПК-2.2)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синтезировать высокомолекулярные и</w:t>
            </w:r>
            <w:r>
              <w:rPr>
                <w:color w:val="000000"/>
                <w:szCs w:val="28"/>
              </w:rPr>
              <w:t xml:space="preserve"> элементоорганические соединения с заданным комплексом свойств, разрабатывать технологические основы их получения и определять области практического применения (ПК- 3)  (Определена на основании профессионального стандарта 40.011 «Специалист по научно-иссле</w:t>
            </w:r>
            <w:r>
              <w:rPr>
                <w:color w:val="000000"/>
                <w:szCs w:val="28"/>
              </w:rPr>
              <w:t>довательским и опытно-конструкторским разработкам», обобщенной трудовой функции «Проведение научно- исследовательских и опытно-конструкторских разработок при исследовании самостоятельных тем»)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адекватный и эффективный метод синтеза высокомолекул</w:t>
            </w:r>
            <w:r>
              <w:rPr>
                <w:color w:val="000000"/>
                <w:szCs w:val="28"/>
              </w:rPr>
              <w:t>ярных и элементоорганических соединений, в соответствии с поставленными задачами и предьявляемыми требованиями, и реализует его на практике (ПК-3.1)</w:t>
            </w:r>
          </w:p>
          <w:p w:rsidR="00545660" w:rsidRDefault="00810AB2" w:rsidP="00810AB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технологические аспекты получения высокомолекулярных и элементоорганических соединений с уч</w:t>
            </w:r>
            <w:r>
              <w:rPr>
                <w:color w:val="000000"/>
                <w:szCs w:val="28"/>
              </w:rPr>
              <w:t>етом перспектив их практического применения (ПК-3.2)</w:t>
            </w:r>
          </w:p>
        </w:tc>
      </w:tr>
    </w:tbl>
    <w:p w:rsidR="00545660" w:rsidRDefault="00545660"/>
    <w:sectPr w:rsidR="00545660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45660"/>
    <w:rsid w:val="00810AB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8DD37C-2327-4284-AB92-81985EF2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Admin</cp:lastModifiedBy>
  <cp:revision>2</cp:revision>
  <dcterms:created xsi:type="dcterms:W3CDTF">2021-11-25T13:20:00Z</dcterms:created>
  <dcterms:modified xsi:type="dcterms:W3CDTF">2021-11-25T13:20:00Z</dcterms:modified>
</cp:coreProperties>
</file>