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37603" w:rsidRPr="00337603" w14:paraId="11B418C3" w14:textId="77777777" w:rsidTr="00337603">
        <w:trPr>
          <w:cantSplit/>
          <w:trHeight w:val="180"/>
        </w:trPr>
        <w:tc>
          <w:tcPr>
            <w:tcW w:w="5000" w:type="pct"/>
            <w:hideMark/>
          </w:tcPr>
          <w:p w14:paraId="07ACF809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337603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980C85" wp14:editId="552508CE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603" w:rsidRPr="00337603" w14:paraId="74E53B54" w14:textId="77777777" w:rsidTr="00337603">
        <w:trPr>
          <w:cantSplit/>
          <w:trHeight w:val="180"/>
        </w:trPr>
        <w:tc>
          <w:tcPr>
            <w:tcW w:w="5000" w:type="pct"/>
            <w:hideMark/>
          </w:tcPr>
          <w:p w14:paraId="452699C0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337603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337603" w:rsidRPr="00337603" w14:paraId="2288B630" w14:textId="77777777" w:rsidTr="00337603">
        <w:trPr>
          <w:cantSplit/>
          <w:trHeight w:val="1417"/>
        </w:trPr>
        <w:tc>
          <w:tcPr>
            <w:tcW w:w="5000" w:type="pct"/>
            <w:hideMark/>
          </w:tcPr>
          <w:p w14:paraId="19220AE4" w14:textId="77777777" w:rsidR="00337603" w:rsidRPr="00337603" w:rsidRDefault="00337603" w:rsidP="00337603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337603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337603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337603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337603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4A088C98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337603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45066CCC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7603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8CFB369" wp14:editId="23227E31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DD098BA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71C20E60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3CAE68E5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337603" w:rsidRPr="00337603" w14:paraId="153349D6" w14:textId="77777777" w:rsidTr="00337603">
        <w:tc>
          <w:tcPr>
            <w:tcW w:w="2313" w:type="pct"/>
            <w:hideMark/>
          </w:tcPr>
          <w:p w14:paraId="09FAE1F3" w14:textId="77777777" w:rsidR="00337603" w:rsidRPr="00337603" w:rsidRDefault="00337603" w:rsidP="00337603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78BAE910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337603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358BF716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5592CC99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 xml:space="preserve">Института тонких химических </w:t>
            </w:r>
          </w:p>
          <w:p w14:paraId="7BBFFFF7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>технологий им. М.В. Ломоносова</w:t>
            </w:r>
          </w:p>
          <w:p w14:paraId="0FCBA6A3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12C47117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6BA45F58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BEAB38C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5F6D003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896C7E0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B7EAC7A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5AB7E78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337603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267"/>
        <w:gridCol w:w="672"/>
        <w:gridCol w:w="326"/>
        <w:gridCol w:w="6090"/>
      </w:tblGrid>
      <w:tr w:rsidR="00337603" w:rsidRPr="00337603" w14:paraId="24960851" w14:textId="77777777" w:rsidTr="00337603">
        <w:trPr>
          <w:trHeight w:val="51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1F7345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337603" w:rsidRPr="00337603" w14:paraId="19D5C352" w14:textId="77777777" w:rsidTr="00337603">
        <w:trPr>
          <w:trHeight w:val="218"/>
        </w:trPr>
        <w:tc>
          <w:tcPr>
            <w:tcW w:w="1745" w:type="pct"/>
            <w:gridSpan w:val="3"/>
            <w:vAlign w:val="bottom"/>
            <w:hideMark/>
          </w:tcPr>
          <w:p w14:paraId="2AC9D4C8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F4CFD4" w14:textId="3EE5EE3D" w:rsidR="00337603" w:rsidRPr="00337603" w:rsidRDefault="00337603" w:rsidP="00C95A9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bookmarkStart w:id="0" w:name="_GoBack"/>
            <w:r>
              <w:rPr>
                <w:rFonts w:eastAsia="Times New Roman"/>
                <w:szCs w:val="24"/>
                <w:lang w:eastAsia="ru-RU"/>
              </w:rPr>
              <w:t>18</w:t>
            </w:r>
            <w:r w:rsidRPr="00337603">
              <w:rPr>
                <w:rFonts w:eastAsia="Times New Roman"/>
                <w:szCs w:val="24"/>
                <w:lang w:eastAsia="ru-RU"/>
              </w:rPr>
              <w:t>.0</w:t>
            </w:r>
            <w:r w:rsidR="00C95A9D">
              <w:rPr>
                <w:rFonts w:eastAsia="Times New Roman"/>
                <w:szCs w:val="24"/>
                <w:lang w:eastAsia="ru-RU"/>
              </w:rPr>
              <w:t>4</w:t>
            </w:r>
            <w:r w:rsidRPr="00337603">
              <w:rPr>
                <w:rFonts w:eastAsia="Times New Roman"/>
                <w:szCs w:val="24"/>
                <w:lang w:eastAsia="ru-RU"/>
              </w:rPr>
              <w:t>.01</w:t>
            </w:r>
            <w:bookmarkEnd w:id="0"/>
            <w:r w:rsidRPr="00337603">
              <w:rPr>
                <w:rFonts w:eastAsia="Times New Roman"/>
                <w:szCs w:val="24"/>
                <w:lang w:eastAsia="ru-RU"/>
              </w:rPr>
              <w:t xml:space="preserve"> «Химическая технология»</w:t>
            </w:r>
          </w:p>
        </w:tc>
      </w:tr>
      <w:tr w:rsidR="00337603" w:rsidRPr="00337603" w14:paraId="1EF9A58B" w14:textId="77777777" w:rsidTr="00337603">
        <w:trPr>
          <w:trHeight w:val="51"/>
        </w:trPr>
        <w:tc>
          <w:tcPr>
            <w:tcW w:w="1745" w:type="pct"/>
            <w:gridSpan w:val="3"/>
            <w:vAlign w:val="bottom"/>
          </w:tcPr>
          <w:p w14:paraId="38B2E952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ADC209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337603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337603" w:rsidRPr="00337603" w14:paraId="3143D8AB" w14:textId="77777777" w:rsidTr="000D1E94">
        <w:trPr>
          <w:trHeight w:val="72"/>
        </w:trPr>
        <w:tc>
          <w:tcPr>
            <w:tcW w:w="1212" w:type="pct"/>
            <w:vAlign w:val="bottom"/>
            <w:hideMark/>
          </w:tcPr>
          <w:p w14:paraId="6A5089E7" w14:textId="1A3C0E8E" w:rsidR="00337603" w:rsidRPr="00337603" w:rsidRDefault="00C95A9D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Направленность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C75CE7" w14:textId="6FD91337" w:rsidR="00337603" w:rsidRPr="00337603" w:rsidRDefault="00B00BFF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B00BFF">
              <w:rPr>
                <w:rFonts w:eastAsia="Times New Roman"/>
                <w:szCs w:val="24"/>
                <w:lang w:eastAsia="ru-RU"/>
              </w:rPr>
              <w:t>Химиче</w:t>
            </w:r>
            <w:r>
              <w:rPr>
                <w:rFonts w:eastAsia="Times New Roman"/>
                <w:szCs w:val="24"/>
                <w:lang w:eastAsia="ru-RU"/>
              </w:rPr>
              <w:t>с</w:t>
            </w:r>
            <w:r w:rsidRPr="00B00BFF">
              <w:rPr>
                <w:rFonts w:eastAsia="Times New Roman"/>
                <w:szCs w:val="24"/>
                <w:lang w:eastAsia="ru-RU"/>
              </w:rPr>
              <w:t xml:space="preserve">кая технология </w:t>
            </w:r>
            <w:proofErr w:type="spellStart"/>
            <w:r w:rsidRPr="00B00BFF">
              <w:rPr>
                <w:rFonts w:eastAsia="Times New Roman"/>
                <w:szCs w:val="24"/>
                <w:lang w:eastAsia="ru-RU"/>
              </w:rPr>
              <w:t>эластомерных</w:t>
            </w:r>
            <w:proofErr w:type="spellEnd"/>
            <w:r w:rsidRPr="00B00BFF">
              <w:rPr>
                <w:rFonts w:eastAsia="Times New Roman"/>
                <w:szCs w:val="24"/>
                <w:lang w:eastAsia="ru-RU"/>
              </w:rPr>
              <w:t xml:space="preserve"> материалов</w:t>
            </w:r>
          </w:p>
        </w:tc>
      </w:tr>
      <w:tr w:rsidR="00337603" w:rsidRPr="00337603" w14:paraId="3F37E061" w14:textId="77777777" w:rsidTr="000D1E94">
        <w:trPr>
          <w:trHeight w:val="51"/>
        </w:trPr>
        <w:tc>
          <w:tcPr>
            <w:tcW w:w="1212" w:type="pct"/>
            <w:vAlign w:val="bottom"/>
          </w:tcPr>
          <w:p w14:paraId="12DBEE4B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516261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337603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337603" w:rsidRPr="00337603" w14:paraId="65BAC1B3" w14:textId="77777777" w:rsidTr="000D1E94">
        <w:trPr>
          <w:trHeight w:val="67"/>
        </w:trPr>
        <w:tc>
          <w:tcPr>
            <w:tcW w:w="1212" w:type="pct"/>
            <w:vAlign w:val="bottom"/>
            <w:hideMark/>
          </w:tcPr>
          <w:p w14:paraId="5DA7CB78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359975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 xml:space="preserve">Институт тонких химических технологий </w:t>
            </w:r>
          </w:p>
          <w:p w14:paraId="684CCF54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>им. М.В. Ломоносова (ИТХТ)</w:t>
            </w:r>
          </w:p>
        </w:tc>
      </w:tr>
      <w:tr w:rsidR="00337603" w:rsidRPr="00337603" w14:paraId="422D6680" w14:textId="77777777" w:rsidTr="000D1E94">
        <w:tc>
          <w:tcPr>
            <w:tcW w:w="1212" w:type="pct"/>
          </w:tcPr>
          <w:p w14:paraId="48A5D75A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43840B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337603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337603" w:rsidRPr="00337603" w14:paraId="47BDDD5C" w14:textId="77777777" w:rsidTr="00337603">
        <w:trPr>
          <w:gridAfter w:val="2"/>
          <w:wAfter w:w="3429" w:type="pct"/>
          <w:trHeight w:val="57"/>
        </w:trPr>
        <w:tc>
          <w:tcPr>
            <w:tcW w:w="1571" w:type="pct"/>
            <w:gridSpan w:val="2"/>
          </w:tcPr>
          <w:p w14:paraId="62C2016F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59E1EAB0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AF53ABA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CDAD4C7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2219CA7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E837BA6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52B6600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CF4C78C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337603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B00B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B00BFF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B00B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B00B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B00B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B00B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B00BFF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B00BFF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B00B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B00B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B00B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B00B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B00B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B00B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B00B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B00B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B00B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B00BFF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B00B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B00B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B00B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B00B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B00B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B00B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B00B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B00B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B00B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B00B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B00B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B00B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B00B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B00B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B00B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B00B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B00B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B00B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B00BFF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600B8C8F" w:rsidR="00A56A3C" w:rsidRDefault="00B00BFF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FA009F">
              <w:rPr>
                <w:rStyle w:val="ad"/>
                <w:noProof/>
              </w:rPr>
              <w:t>18.0</w:t>
            </w:r>
            <w:r w:rsidR="00C95A9D">
              <w:rPr>
                <w:rStyle w:val="ad"/>
                <w:noProof/>
              </w:rPr>
              <w:t>4</w:t>
            </w:r>
            <w:r w:rsidR="00FA009F">
              <w:rPr>
                <w:rStyle w:val="ad"/>
                <w:noProof/>
              </w:rPr>
              <w:t>.01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FA009F">
              <w:rPr>
                <w:rStyle w:val="ad"/>
                <w:noProof/>
              </w:rPr>
              <w:t>Химическая технология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Pr="00B00BFF">
              <w:rPr>
                <w:rFonts w:eastAsia="Times New Roman"/>
                <w:szCs w:val="24"/>
                <w:lang w:eastAsia="ru-RU"/>
              </w:rPr>
              <w:t>Химиче</w:t>
            </w:r>
            <w:r>
              <w:rPr>
                <w:rFonts w:eastAsia="Times New Roman"/>
                <w:szCs w:val="24"/>
                <w:lang w:eastAsia="ru-RU"/>
              </w:rPr>
              <w:t>с</w:t>
            </w:r>
            <w:r w:rsidRPr="00B00BFF">
              <w:rPr>
                <w:rFonts w:eastAsia="Times New Roman"/>
                <w:szCs w:val="24"/>
                <w:lang w:eastAsia="ru-RU"/>
              </w:rPr>
              <w:t>кая технология эластомерных материалов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1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1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2" w:name="_Toc73816589"/>
      <w:r>
        <w:t>1.1. Общие характеристики системы воспитательной работы</w:t>
      </w:r>
      <w:bookmarkEnd w:id="2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716A847B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C95A9D">
        <w:t>18.04</w:t>
      </w:r>
      <w:r w:rsidR="00FA009F">
        <w:t>.01</w:t>
      </w:r>
      <w:r>
        <w:t xml:space="preserve"> «</w:t>
      </w:r>
      <w:r w:rsidR="00FA009F">
        <w:t>Химическая технология</w:t>
      </w:r>
      <w:r>
        <w:t>» направленности «</w:t>
      </w:r>
      <w:r w:rsidR="00B00BFF" w:rsidRPr="00B00BFF">
        <w:rPr>
          <w:rFonts w:eastAsia="Times New Roman"/>
          <w:szCs w:val="24"/>
          <w:lang w:eastAsia="ru-RU"/>
        </w:rPr>
        <w:t>Химиче</w:t>
      </w:r>
      <w:r w:rsidR="00B00BFF">
        <w:rPr>
          <w:rFonts w:eastAsia="Times New Roman"/>
          <w:szCs w:val="24"/>
          <w:lang w:eastAsia="ru-RU"/>
        </w:rPr>
        <w:t>с</w:t>
      </w:r>
      <w:r w:rsidR="00B00BFF" w:rsidRPr="00B00BFF">
        <w:rPr>
          <w:rFonts w:eastAsia="Times New Roman"/>
          <w:szCs w:val="24"/>
          <w:lang w:eastAsia="ru-RU"/>
        </w:rPr>
        <w:t xml:space="preserve">кая технология </w:t>
      </w:r>
      <w:proofErr w:type="spellStart"/>
      <w:r w:rsidR="00B00BFF" w:rsidRPr="00B00BFF">
        <w:rPr>
          <w:rFonts w:eastAsia="Times New Roman"/>
          <w:szCs w:val="24"/>
          <w:lang w:eastAsia="ru-RU"/>
        </w:rPr>
        <w:t>эластомерных</w:t>
      </w:r>
      <w:proofErr w:type="spellEnd"/>
      <w:r w:rsidR="00B00BFF" w:rsidRPr="00B00BFF">
        <w:rPr>
          <w:rFonts w:eastAsia="Times New Roman"/>
          <w:szCs w:val="24"/>
          <w:lang w:eastAsia="ru-RU"/>
        </w:rPr>
        <w:t xml:space="preserve"> материалов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3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3"/>
    </w:p>
    <w:p w14:paraId="33E0A398" w14:textId="4C3CEDA0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</w:t>
      </w:r>
      <w:r w:rsidR="005E1E77">
        <w:t>магистров</w:t>
      </w:r>
      <w:r>
        <w:t xml:space="preserve">, обучающихся </w:t>
      </w:r>
      <w:r>
        <w:lastRenderedPageBreak/>
        <w:t xml:space="preserve">по направлению подготовки </w:t>
      </w:r>
      <w:r w:rsidR="00FA009F">
        <w:t>18.0</w:t>
      </w:r>
      <w:r w:rsidR="00C95A9D">
        <w:t>4</w:t>
      </w:r>
      <w:r w:rsidR="00FA009F">
        <w:t>.01</w:t>
      </w:r>
      <w:r>
        <w:t xml:space="preserve"> «</w:t>
      </w:r>
      <w:r w:rsidR="00FA009F">
        <w:t>Химическая технология</w:t>
      </w:r>
      <w:r>
        <w:t>» (направленность «</w:t>
      </w:r>
      <w:r w:rsidR="00B00BFF" w:rsidRPr="00B00BFF">
        <w:rPr>
          <w:rFonts w:eastAsia="Times New Roman"/>
          <w:szCs w:val="24"/>
          <w:lang w:eastAsia="ru-RU"/>
        </w:rPr>
        <w:t>Химиче</w:t>
      </w:r>
      <w:r w:rsidR="00B00BFF">
        <w:rPr>
          <w:rFonts w:eastAsia="Times New Roman"/>
          <w:szCs w:val="24"/>
          <w:lang w:eastAsia="ru-RU"/>
        </w:rPr>
        <w:t>с</w:t>
      </w:r>
      <w:r w:rsidR="00B00BFF" w:rsidRPr="00B00BFF">
        <w:rPr>
          <w:rFonts w:eastAsia="Times New Roman"/>
          <w:szCs w:val="24"/>
          <w:lang w:eastAsia="ru-RU"/>
        </w:rPr>
        <w:t xml:space="preserve">кая технология </w:t>
      </w:r>
      <w:proofErr w:type="spellStart"/>
      <w:r w:rsidR="00B00BFF" w:rsidRPr="00B00BFF">
        <w:rPr>
          <w:rFonts w:eastAsia="Times New Roman"/>
          <w:szCs w:val="24"/>
          <w:lang w:eastAsia="ru-RU"/>
        </w:rPr>
        <w:t>эластомерных</w:t>
      </w:r>
      <w:proofErr w:type="spellEnd"/>
      <w:r w:rsidR="00B00BFF" w:rsidRPr="00B00BFF">
        <w:rPr>
          <w:rFonts w:eastAsia="Times New Roman"/>
          <w:szCs w:val="24"/>
          <w:lang w:eastAsia="ru-RU"/>
        </w:rPr>
        <w:t xml:space="preserve"> материалов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4" w:name="_Toc73816591"/>
      <w:r>
        <w:lastRenderedPageBreak/>
        <w:t>1.3. Цель и задачи воспитания</w:t>
      </w:r>
      <w:bookmarkEnd w:id="4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5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5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18D32FFC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FA009F">
        <w:t>18.0</w:t>
      </w:r>
      <w:r w:rsidR="00C95A9D">
        <w:t>4</w:t>
      </w:r>
      <w:r w:rsidR="00FA009F">
        <w:t>.01</w:t>
      </w:r>
      <w:r w:rsidRPr="00B5090B">
        <w:t xml:space="preserve"> «</w:t>
      </w:r>
      <w:r w:rsidR="00FA009F">
        <w:t>Химическая технология</w:t>
      </w:r>
      <w:r w:rsidRPr="00B5090B">
        <w:t>» (направленность «</w:t>
      </w:r>
      <w:r w:rsidR="00B00BFF" w:rsidRPr="00B00BFF">
        <w:rPr>
          <w:rFonts w:eastAsia="Times New Roman"/>
          <w:szCs w:val="24"/>
          <w:lang w:eastAsia="ru-RU"/>
        </w:rPr>
        <w:t>Химиче</w:t>
      </w:r>
      <w:r w:rsidR="00B00BFF">
        <w:rPr>
          <w:rFonts w:eastAsia="Times New Roman"/>
          <w:szCs w:val="24"/>
          <w:lang w:eastAsia="ru-RU"/>
        </w:rPr>
        <w:t>с</w:t>
      </w:r>
      <w:r w:rsidR="00B00BFF" w:rsidRPr="00B00BFF">
        <w:rPr>
          <w:rFonts w:eastAsia="Times New Roman"/>
          <w:szCs w:val="24"/>
          <w:lang w:eastAsia="ru-RU"/>
        </w:rPr>
        <w:t xml:space="preserve">кая технология </w:t>
      </w:r>
      <w:proofErr w:type="spellStart"/>
      <w:r w:rsidR="00B00BFF" w:rsidRPr="00B00BFF">
        <w:rPr>
          <w:rFonts w:eastAsia="Times New Roman"/>
          <w:szCs w:val="24"/>
          <w:lang w:eastAsia="ru-RU"/>
        </w:rPr>
        <w:t>эластомерных</w:t>
      </w:r>
      <w:proofErr w:type="spellEnd"/>
      <w:r w:rsidR="00B00BFF" w:rsidRPr="00B00BFF">
        <w:rPr>
          <w:rFonts w:eastAsia="Times New Roman"/>
          <w:szCs w:val="24"/>
          <w:lang w:eastAsia="ru-RU"/>
        </w:rPr>
        <w:t xml:space="preserve"> материалов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717346A7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FA009F">
        <w:t>18.0</w:t>
      </w:r>
      <w:r w:rsidR="00C95A9D">
        <w:t>4</w:t>
      </w:r>
      <w:r w:rsidR="00FA009F">
        <w:t>.01</w:t>
      </w:r>
      <w:r w:rsidRPr="00581325">
        <w:t xml:space="preserve"> «</w:t>
      </w:r>
      <w:r w:rsidR="00FA009F">
        <w:t>Химическая технология</w:t>
      </w:r>
      <w:r w:rsidRPr="00581325">
        <w:t>» (направленность «</w:t>
      </w:r>
      <w:r w:rsidR="00B00BFF" w:rsidRPr="00B00BFF">
        <w:rPr>
          <w:rFonts w:eastAsia="Times New Roman"/>
          <w:szCs w:val="24"/>
          <w:lang w:eastAsia="ru-RU"/>
        </w:rPr>
        <w:t>Химиче</w:t>
      </w:r>
      <w:r w:rsidR="00B00BFF">
        <w:rPr>
          <w:rFonts w:eastAsia="Times New Roman"/>
          <w:szCs w:val="24"/>
          <w:lang w:eastAsia="ru-RU"/>
        </w:rPr>
        <w:t>с</w:t>
      </w:r>
      <w:r w:rsidR="00B00BFF" w:rsidRPr="00B00BFF">
        <w:rPr>
          <w:rFonts w:eastAsia="Times New Roman"/>
          <w:szCs w:val="24"/>
          <w:lang w:eastAsia="ru-RU"/>
        </w:rPr>
        <w:t xml:space="preserve">кая технология </w:t>
      </w:r>
      <w:proofErr w:type="spellStart"/>
      <w:r w:rsidR="00B00BFF" w:rsidRPr="00B00BFF">
        <w:rPr>
          <w:rFonts w:eastAsia="Times New Roman"/>
          <w:szCs w:val="24"/>
          <w:lang w:eastAsia="ru-RU"/>
        </w:rPr>
        <w:t>эластомерных</w:t>
      </w:r>
      <w:proofErr w:type="spellEnd"/>
      <w:r w:rsidR="00B00BFF" w:rsidRPr="00B00BFF">
        <w:rPr>
          <w:rFonts w:eastAsia="Times New Roman"/>
          <w:szCs w:val="24"/>
          <w:lang w:eastAsia="ru-RU"/>
        </w:rPr>
        <w:t xml:space="preserve"> материалов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</w:t>
      </w:r>
      <w:r w:rsidR="00B5090B">
        <w:lastRenderedPageBreak/>
        <w:t xml:space="preserve">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6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6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02EA7998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FA009F">
        <w:t>18.0</w:t>
      </w:r>
      <w:r w:rsidR="00C95A9D">
        <w:t>4</w:t>
      </w:r>
      <w:r w:rsidR="00FA009F">
        <w:t>.01</w:t>
      </w:r>
      <w:r w:rsidRPr="004E5761">
        <w:t xml:space="preserve"> «</w:t>
      </w:r>
      <w:r w:rsidR="00FA009F">
        <w:t>Химическая технология</w:t>
      </w:r>
      <w:r w:rsidRPr="004E5761">
        <w:t>» (направленность «</w:t>
      </w:r>
      <w:r w:rsidR="00B00BFF" w:rsidRPr="00B00BFF">
        <w:rPr>
          <w:rFonts w:eastAsia="Times New Roman"/>
          <w:szCs w:val="24"/>
          <w:lang w:eastAsia="ru-RU"/>
        </w:rPr>
        <w:t>Химиче</w:t>
      </w:r>
      <w:r w:rsidR="00B00BFF">
        <w:rPr>
          <w:rFonts w:eastAsia="Times New Roman"/>
          <w:szCs w:val="24"/>
          <w:lang w:eastAsia="ru-RU"/>
        </w:rPr>
        <w:t>с</w:t>
      </w:r>
      <w:r w:rsidR="00B00BFF" w:rsidRPr="00B00BFF">
        <w:rPr>
          <w:rFonts w:eastAsia="Times New Roman"/>
          <w:szCs w:val="24"/>
          <w:lang w:eastAsia="ru-RU"/>
        </w:rPr>
        <w:t xml:space="preserve">кая технология </w:t>
      </w:r>
      <w:proofErr w:type="spellStart"/>
      <w:r w:rsidR="00B00BFF" w:rsidRPr="00B00BFF">
        <w:rPr>
          <w:rFonts w:eastAsia="Times New Roman"/>
          <w:szCs w:val="24"/>
          <w:lang w:eastAsia="ru-RU"/>
        </w:rPr>
        <w:t>эластомерных</w:t>
      </w:r>
      <w:proofErr w:type="spellEnd"/>
      <w:r w:rsidR="00B00BFF" w:rsidRPr="00B00BFF">
        <w:rPr>
          <w:rFonts w:eastAsia="Times New Roman"/>
          <w:szCs w:val="24"/>
          <w:lang w:eastAsia="ru-RU"/>
        </w:rPr>
        <w:t xml:space="preserve"> материалов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7" w:name="_Toc73816594"/>
      <w:r w:rsidRPr="00BE6683"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7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r w:rsidR="006D4C6D" w:rsidRPr="00502EF5">
        <w:t>УК–9, УК–10, УК–11</w:t>
      </w:r>
      <w:r w:rsidR="00BE6683" w:rsidRPr="00502EF5">
        <w:t>)</w:t>
      </w:r>
      <w:r w:rsidR="001524C4" w:rsidRPr="00502EF5">
        <w:t xml:space="preserve"> (</w:t>
      </w:r>
      <w:proofErr w:type="spellStart"/>
      <w:r w:rsidR="001524C4" w:rsidRPr="00502EF5">
        <w:t>знаниевая</w:t>
      </w:r>
      <w:proofErr w:type="spellEnd"/>
      <w:r w:rsidR="001524C4" w:rsidRPr="00502EF5">
        <w:t xml:space="preserve"> компонента; освоение в рамках изуче</w:t>
      </w:r>
      <w:r w:rsidR="001524C4">
        <w:t>ния дисциплин учебного плана, прохождения практик)</w:t>
      </w:r>
      <w:r w:rsidR="00BE668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B00BFF">
        <w:fldChar w:fldCharType="begin"/>
      </w:r>
      <w:r w:rsidR="00B00BFF">
        <w:instrText xml:space="preserve"> SEQ Таблица \* ARABIC </w:instrText>
      </w:r>
      <w:r w:rsidR="00B00BFF">
        <w:fldChar w:fldCharType="separate"/>
      </w:r>
      <w:r w:rsidR="009966BD">
        <w:rPr>
          <w:noProof/>
        </w:rPr>
        <w:t>1</w:t>
      </w:r>
      <w:r w:rsidR="00B00BFF">
        <w:rPr>
          <w:noProof/>
        </w:rPr>
        <w:fldChar w:fldCharType="end"/>
      </w:r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развитие гражданской и социальной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Способен определять круг задач в рамках поставленной цели и выбирать оптимальные способы их решения, исходя из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действующих правовых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B00BFF">
        <w:fldChar w:fldCharType="begin"/>
      </w:r>
      <w:r w:rsidR="00B00BFF">
        <w:instrText xml:space="preserve"> SEQ Таблица \* ARABIC </w:instrText>
      </w:r>
      <w:r w:rsidR="00B00BFF">
        <w:fldChar w:fldCharType="separate"/>
      </w:r>
      <w:r w:rsidR="009966BD">
        <w:rPr>
          <w:noProof/>
        </w:rPr>
        <w:t>2</w:t>
      </w:r>
      <w:r w:rsidR="00B00BFF">
        <w:rPr>
          <w:noProof/>
        </w:rPr>
        <w:fldChar w:fldCharType="end"/>
      </w:r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r w:rsidR="00B00BFF">
        <w:fldChar w:fldCharType="begin"/>
      </w:r>
      <w:r w:rsidR="00B00BFF">
        <w:instrText xml:space="preserve"> SEQ Таблица \* ARABIC </w:instrText>
      </w:r>
      <w:r w:rsidR="00B00BFF">
        <w:fldChar w:fldCharType="separate"/>
      </w:r>
      <w:r w:rsidR="009966BD">
        <w:rPr>
          <w:noProof/>
        </w:rPr>
        <w:t>3</w:t>
      </w:r>
      <w:r w:rsidR="00B00BFF">
        <w:rPr>
          <w:noProof/>
        </w:rPr>
        <w:fldChar w:fldCharType="end"/>
      </w:r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r w:rsidR="00B00BFF">
        <w:fldChar w:fldCharType="begin"/>
      </w:r>
      <w:r w:rsidR="00B00BFF">
        <w:instrText xml:space="preserve"> SEQ Таблица \* ARABIC </w:instrText>
      </w:r>
      <w:r w:rsidR="00B00BFF">
        <w:fldChar w:fldCharType="separate"/>
      </w:r>
      <w:r w:rsidR="009966BD">
        <w:rPr>
          <w:noProof/>
        </w:rPr>
        <w:t>4</w:t>
      </w:r>
      <w:r w:rsidR="00B00BFF">
        <w:rPr>
          <w:noProof/>
        </w:rPr>
        <w:fldChar w:fldCharType="end"/>
      </w:r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r w:rsidR="00B00BFF">
        <w:fldChar w:fldCharType="begin"/>
      </w:r>
      <w:r w:rsidR="00B00BFF">
        <w:instrText xml:space="preserve"> SEQ Таблица \* ARABIC </w:instrText>
      </w:r>
      <w:r w:rsidR="00B00BFF">
        <w:fldChar w:fldCharType="separate"/>
      </w:r>
      <w:r w:rsidR="009966BD">
        <w:rPr>
          <w:noProof/>
        </w:rPr>
        <w:t>5</w:t>
      </w:r>
      <w:r w:rsidR="00B00BFF">
        <w:rPr>
          <w:noProof/>
        </w:rPr>
        <w:fldChar w:fldCharType="end"/>
      </w:r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B00BFF">
        <w:fldChar w:fldCharType="begin"/>
      </w:r>
      <w:r w:rsidR="00B00BFF">
        <w:instrText xml:space="preserve"> SEQ Таблица \* ARABIC </w:instrText>
      </w:r>
      <w:r w:rsidR="00B00BFF">
        <w:fldChar w:fldCharType="separate"/>
      </w:r>
      <w:r w:rsidR="009966BD">
        <w:rPr>
          <w:noProof/>
        </w:rPr>
        <w:t>6</w:t>
      </w:r>
      <w:r w:rsidR="00B00BFF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B00BFF">
        <w:fldChar w:fldCharType="begin"/>
      </w:r>
      <w:r w:rsidR="00B00BFF">
        <w:instrText xml:space="preserve"> SEQ Таблица \* ARABIC </w:instrText>
      </w:r>
      <w:r w:rsidR="00B00BFF">
        <w:fldChar w:fldCharType="separate"/>
      </w:r>
      <w:r w:rsidR="009966BD">
        <w:rPr>
          <w:noProof/>
        </w:rPr>
        <w:t>7</w:t>
      </w:r>
      <w:r w:rsidR="00B00BFF">
        <w:rPr>
          <w:noProof/>
        </w:rPr>
        <w:fldChar w:fldCharType="end"/>
      </w:r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r w:rsidR="00B00BFF">
        <w:fldChar w:fldCharType="begin"/>
      </w:r>
      <w:r w:rsidR="00B00BFF">
        <w:instrText xml:space="preserve"> SEQ Таблица \* ARABIC </w:instrText>
      </w:r>
      <w:r w:rsidR="00B00BFF">
        <w:fldChar w:fldCharType="separate"/>
      </w:r>
      <w:r w:rsidR="009966BD">
        <w:rPr>
          <w:noProof/>
        </w:rPr>
        <w:t>8</w:t>
      </w:r>
      <w:r w:rsidR="00B00BFF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r w:rsidR="00B00BFF">
        <w:fldChar w:fldCharType="begin"/>
      </w:r>
      <w:r w:rsidR="00B00BFF">
        <w:instrText xml:space="preserve"> SEQ Таблица \* ARABIC </w:instrText>
      </w:r>
      <w:r w:rsidR="00B00BFF">
        <w:fldChar w:fldCharType="separate"/>
      </w:r>
      <w:r w:rsidR="009966BD">
        <w:rPr>
          <w:noProof/>
        </w:rPr>
        <w:t>9</w:t>
      </w:r>
      <w:r w:rsidR="00B00BFF">
        <w:rPr>
          <w:noProof/>
        </w:rPr>
        <w:fldChar w:fldCharType="end"/>
      </w:r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r w:rsidR="00B00BFF">
        <w:fldChar w:fldCharType="begin"/>
      </w:r>
      <w:r w:rsidR="00B00BFF">
        <w:instrText xml:space="preserve"> SEQ Таблица \* ARABIC </w:instrText>
      </w:r>
      <w:r w:rsidR="00B00BFF">
        <w:fldChar w:fldCharType="separate"/>
      </w:r>
      <w:r w:rsidR="009966BD">
        <w:rPr>
          <w:noProof/>
        </w:rPr>
        <w:t>10</w:t>
      </w:r>
      <w:r w:rsidR="00B00BFF">
        <w:rPr>
          <w:noProof/>
        </w:rPr>
        <w:fldChar w:fldCharType="end"/>
      </w:r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r w:rsidR="00B00BFF">
        <w:fldChar w:fldCharType="begin"/>
      </w:r>
      <w:r w:rsidR="00B00BFF">
        <w:instrText xml:space="preserve"> SEQ Таблица \* ARABIC </w:instrText>
      </w:r>
      <w:r w:rsidR="00B00BFF">
        <w:fldChar w:fldCharType="separate"/>
      </w:r>
      <w:r w:rsidR="009966BD">
        <w:rPr>
          <w:noProof/>
        </w:rPr>
        <w:t>11</w:t>
      </w:r>
      <w:r w:rsidR="00B00BFF">
        <w:rPr>
          <w:noProof/>
        </w:rPr>
        <w:fldChar w:fldCharType="end"/>
      </w:r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r w:rsidR="00B00BFF">
        <w:fldChar w:fldCharType="begin"/>
      </w:r>
      <w:r w:rsidR="00B00BFF">
        <w:instrText xml:space="preserve"> SEQ Таблица \* ARABIC </w:instrText>
      </w:r>
      <w:r w:rsidR="00B00BFF">
        <w:fldChar w:fldCharType="separate"/>
      </w:r>
      <w:r w:rsidR="009966BD">
        <w:rPr>
          <w:noProof/>
        </w:rPr>
        <w:t>12</w:t>
      </w:r>
      <w:r w:rsidR="00B00BFF">
        <w:rPr>
          <w:noProof/>
        </w:rPr>
        <w:fldChar w:fldCharType="end"/>
      </w:r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B00BFF">
        <w:fldChar w:fldCharType="begin"/>
      </w:r>
      <w:r w:rsidR="00B00BFF">
        <w:instrText xml:space="preserve"> SEQ Таблица \* ARABIC </w:instrText>
      </w:r>
      <w:r w:rsidR="00B00BFF">
        <w:fldChar w:fldCharType="separate"/>
      </w:r>
      <w:r w:rsidR="009966BD">
        <w:rPr>
          <w:noProof/>
        </w:rPr>
        <w:t>13</w:t>
      </w:r>
      <w:r w:rsidR="00B00BFF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B00BFF">
        <w:fldChar w:fldCharType="begin"/>
      </w:r>
      <w:r w:rsidR="00B00BFF">
        <w:instrText xml:space="preserve"> SEQ Таблица \* ARABIC </w:instrText>
      </w:r>
      <w:r w:rsidR="00B00BFF">
        <w:fldChar w:fldCharType="separate"/>
      </w:r>
      <w:r w:rsidR="009966BD">
        <w:rPr>
          <w:noProof/>
        </w:rPr>
        <w:t>14</w:t>
      </w:r>
      <w:r w:rsidR="00B00BFF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r w:rsidR="00B00BFF">
        <w:fldChar w:fldCharType="begin"/>
      </w:r>
      <w:r w:rsidR="00B00BFF">
        <w:instrText xml:space="preserve"> SEQ Таблица \* ARABIC </w:instrText>
      </w:r>
      <w:r w:rsidR="00B00BFF">
        <w:fldChar w:fldCharType="separate"/>
      </w:r>
      <w:r w:rsidR="009966BD">
        <w:rPr>
          <w:noProof/>
        </w:rPr>
        <w:t>15</w:t>
      </w:r>
      <w:r w:rsidR="00B00BFF">
        <w:rPr>
          <w:noProof/>
        </w:rPr>
        <w:fldChar w:fldCharType="end"/>
      </w:r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r w:rsidR="00B00BFF">
        <w:fldChar w:fldCharType="begin"/>
      </w:r>
      <w:r w:rsidR="00B00BFF">
        <w:instrText xml:space="preserve"> SEQ Таблица \* ARABIC </w:instrText>
      </w:r>
      <w:r w:rsidR="00B00BFF">
        <w:fldChar w:fldCharType="separate"/>
      </w:r>
      <w:r w:rsidR="009966BD">
        <w:rPr>
          <w:noProof/>
        </w:rPr>
        <w:t>16</w:t>
      </w:r>
      <w:r w:rsidR="00B00BFF">
        <w:rPr>
          <w:noProof/>
        </w:rPr>
        <w:fldChar w:fldCharType="end"/>
      </w:r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r w:rsidR="00B00BFF">
        <w:fldChar w:fldCharType="begin"/>
      </w:r>
      <w:r w:rsidR="00B00BFF">
        <w:instrText xml:space="preserve"> SEQ Таблица \* ARABIC </w:instrText>
      </w:r>
      <w:r w:rsidR="00B00BFF">
        <w:fldChar w:fldCharType="separate"/>
      </w:r>
      <w:r w:rsidR="009966BD">
        <w:rPr>
          <w:noProof/>
        </w:rPr>
        <w:t>17</w:t>
      </w:r>
      <w:r w:rsidR="00B00BFF">
        <w:rPr>
          <w:noProof/>
        </w:rPr>
        <w:fldChar w:fldCharType="end"/>
      </w:r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r w:rsidR="00B00BFF">
        <w:fldChar w:fldCharType="begin"/>
      </w:r>
      <w:r w:rsidR="00B00BFF">
        <w:instrText xml:space="preserve"> SEQ Таблица \* ARABIC </w:instrText>
      </w:r>
      <w:r w:rsidR="00B00BFF">
        <w:fldChar w:fldCharType="separate"/>
      </w:r>
      <w:r w:rsidR="009966BD">
        <w:rPr>
          <w:noProof/>
        </w:rPr>
        <w:t>18</w:t>
      </w:r>
      <w:r w:rsidR="00B00BFF">
        <w:rPr>
          <w:noProof/>
        </w:rPr>
        <w:fldChar w:fldCharType="end"/>
      </w:r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6669DEC9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FA009F">
        <w:rPr>
          <w:rFonts w:eastAsia="Times New Roman"/>
          <w:bCs/>
          <w:lang w:eastAsia="ru-RU"/>
        </w:rPr>
        <w:t>18.0</w:t>
      </w:r>
      <w:r w:rsidR="00C95A9D">
        <w:rPr>
          <w:rFonts w:eastAsia="Times New Roman"/>
          <w:bCs/>
          <w:lang w:eastAsia="ru-RU"/>
        </w:rPr>
        <w:t>4</w:t>
      </w:r>
      <w:r w:rsidR="00FA009F">
        <w:rPr>
          <w:rFonts w:eastAsia="Times New Roman"/>
          <w:bCs/>
          <w:lang w:eastAsia="ru-RU"/>
        </w:rPr>
        <w:t>.01</w:t>
      </w:r>
      <w:r w:rsidRPr="002D6756">
        <w:rPr>
          <w:rFonts w:eastAsia="Times New Roman"/>
          <w:bCs/>
          <w:lang w:eastAsia="ru-RU"/>
        </w:rPr>
        <w:t xml:space="preserve"> «</w:t>
      </w:r>
      <w:r w:rsidR="00FA009F">
        <w:rPr>
          <w:rFonts w:eastAsia="Times New Roman"/>
          <w:bCs/>
          <w:lang w:eastAsia="ru-RU"/>
        </w:rPr>
        <w:t>Химическая технология</w:t>
      </w:r>
      <w:r>
        <w:rPr>
          <w:rFonts w:eastAsia="Times New Roman"/>
          <w:bCs/>
          <w:lang w:eastAsia="ru-RU"/>
        </w:rPr>
        <w:t>» направленности «</w:t>
      </w:r>
      <w:r w:rsidR="00B00BFF" w:rsidRPr="00B00BFF">
        <w:rPr>
          <w:rFonts w:eastAsia="Times New Roman"/>
          <w:szCs w:val="24"/>
          <w:lang w:eastAsia="ru-RU"/>
        </w:rPr>
        <w:t>Химиче</w:t>
      </w:r>
      <w:r w:rsidR="00B00BFF">
        <w:rPr>
          <w:rFonts w:eastAsia="Times New Roman"/>
          <w:szCs w:val="24"/>
          <w:lang w:eastAsia="ru-RU"/>
        </w:rPr>
        <w:t>с</w:t>
      </w:r>
      <w:r w:rsidR="00B00BFF" w:rsidRPr="00B00BFF">
        <w:rPr>
          <w:rFonts w:eastAsia="Times New Roman"/>
          <w:szCs w:val="24"/>
          <w:lang w:eastAsia="ru-RU"/>
        </w:rPr>
        <w:t xml:space="preserve">кая технология </w:t>
      </w:r>
      <w:proofErr w:type="spellStart"/>
      <w:r w:rsidR="00B00BFF" w:rsidRPr="00B00BFF">
        <w:rPr>
          <w:rFonts w:eastAsia="Times New Roman"/>
          <w:szCs w:val="24"/>
          <w:lang w:eastAsia="ru-RU"/>
        </w:rPr>
        <w:t>эластомерных</w:t>
      </w:r>
      <w:proofErr w:type="spellEnd"/>
      <w:r w:rsidR="00B00BFF" w:rsidRPr="00B00BFF">
        <w:rPr>
          <w:rFonts w:eastAsia="Times New Roman"/>
          <w:szCs w:val="24"/>
          <w:lang w:eastAsia="ru-RU"/>
        </w:rPr>
        <w:t xml:space="preserve"> материалов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 w:rsidRPr="00F8635C">
        <w:rPr>
          <w:rFonts w:eastAsia="Times New Roman"/>
          <w:bCs/>
          <w:lang w:eastAsia="ru-RU"/>
        </w:rPr>
        <w:lastRenderedPageBreak/>
        <w:t xml:space="preserve">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 w:rsidRPr="008948D8">
        <w:rPr>
          <w:rFonts w:eastAsia="Times New Roman"/>
          <w:bCs/>
          <w:lang w:eastAsia="ru-RU"/>
        </w:rPr>
        <w:lastRenderedPageBreak/>
        <w:t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</w:t>
      </w:r>
      <w:r>
        <w:lastRenderedPageBreak/>
        <w:t xml:space="preserve">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738E6215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FA009F">
        <w:t>18.0</w:t>
      </w:r>
      <w:r w:rsidR="00C95A9D">
        <w:t>4</w:t>
      </w:r>
      <w:r w:rsidR="00FA009F">
        <w:t>.01</w:t>
      </w:r>
      <w:r w:rsidR="005D5B0F" w:rsidRPr="005D5B0F">
        <w:t xml:space="preserve"> «</w:t>
      </w:r>
      <w:r w:rsidR="00FA009F">
        <w:t>Химическая технология</w:t>
      </w:r>
      <w:r w:rsidR="005D5B0F">
        <w:t>» направленности «</w:t>
      </w:r>
      <w:r w:rsidR="00B00BFF" w:rsidRPr="00B00BFF">
        <w:t xml:space="preserve">Химическая технология </w:t>
      </w:r>
      <w:proofErr w:type="spellStart"/>
      <w:r w:rsidR="00B00BFF" w:rsidRPr="00B00BFF">
        <w:t>эластомерных</w:t>
      </w:r>
      <w:proofErr w:type="spellEnd"/>
      <w:r w:rsidR="00B00BFF" w:rsidRPr="00B00BFF">
        <w:t xml:space="preserve"> материалов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4DC9B366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FA009F">
        <w:t>18.0</w:t>
      </w:r>
      <w:r w:rsidR="00C95A9D">
        <w:t>4</w:t>
      </w:r>
      <w:r w:rsidR="00FA009F">
        <w:t>.01</w:t>
      </w:r>
      <w:r w:rsidR="0015162F" w:rsidRPr="0015162F">
        <w:t xml:space="preserve"> «</w:t>
      </w:r>
      <w:r w:rsidR="00FA009F">
        <w:t>Химическая технология</w:t>
      </w:r>
      <w:r w:rsidR="0015162F">
        <w:t>» направлен</w:t>
      </w:r>
      <w:r w:rsidR="0015162F" w:rsidRPr="0015162F">
        <w:t>ности «</w:t>
      </w:r>
      <w:r w:rsidR="00B00BFF" w:rsidRPr="00B00BFF">
        <w:rPr>
          <w:rFonts w:eastAsia="Times New Roman"/>
          <w:szCs w:val="24"/>
          <w:lang w:eastAsia="ru-RU"/>
        </w:rPr>
        <w:t>Химиче</w:t>
      </w:r>
      <w:r w:rsidR="00B00BFF">
        <w:rPr>
          <w:rFonts w:eastAsia="Times New Roman"/>
          <w:szCs w:val="24"/>
          <w:lang w:eastAsia="ru-RU"/>
        </w:rPr>
        <w:t>с</w:t>
      </w:r>
      <w:r w:rsidR="00B00BFF" w:rsidRPr="00B00BFF">
        <w:rPr>
          <w:rFonts w:eastAsia="Times New Roman"/>
          <w:szCs w:val="24"/>
          <w:lang w:eastAsia="ru-RU"/>
        </w:rPr>
        <w:t xml:space="preserve">кая технология </w:t>
      </w:r>
      <w:proofErr w:type="spellStart"/>
      <w:r w:rsidR="00B00BFF" w:rsidRPr="00B00BFF">
        <w:rPr>
          <w:rFonts w:eastAsia="Times New Roman"/>
          <w:szCs w:val="24"/>
          <w:lang w:eastAsia="ru-RU"/>
        </w:rPr>
        <w:t>эластомерных</w:t>
      </w:r>
      <w:proofErr w:type="spellEnd"/>
      <w:r w:rsidR="00B00BFF" w:rsidRPr="00B00BFF">
        <w:rPr>
          <w:rFonts w:eastAsia="Times New Roman"/>
          <w:szCs w:val="24"/>
          <w:lang w:eastAsia="ru-RU"/>
        </w:rPr>
        <w:t xml:space="preserve"> материалов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</w:t>
      </w:r>
      <w:r w:rsidR="00002ADA">
        <w:lastRenderedPageBreak/>
        <w:t xml:space="preserve">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r w:rsidR="00B00BFF">
        <w:fldChar w:fldCharType="begin"/>
      </w:r>
      <w:r w:rsidR="00B00BFF">
        <w:instrText xml:space="preserve"> SEQ Таблица \* ARAB</w:instrText>
      </w:r>
      <w:r w:rsidR="00B00BFF">
        <w:instrText xml:space="preserve">IC </w:instrText>
      </w:r>
      <w:r w:rsidR="00B00BFF">
        <w:fldChar w:fldCharType="separate"/>
      </w:r>
      <w:r>
        <w:rPr>
          <w:noProof/>
        </w:rPr>
        <w:t>19</w:t>
      </w:r>
      <w:r w:rsidR="00B00BFF">
        <w:rPr>
          <w:noProof/>
        </w:rPr>
        <w:fldChar w:fldCharType="end"/>
      </w:r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B2F58"/>
    <w:rsid w:val="000C032C"/>
    <w:rsid w:val="000D1E94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37603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5366"/>
    <w:rsid w:val="004761A0"/>
    <w:rsid w:val="0048261F"/>
    <w:rsid w:val="00485653"/>
    <w:rsid w:val="00492E58"/>
    <w:rsid w:val="004967D6"/>
    <w:rsid w:val="004A3264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02EF5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66E89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1E77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0C1A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0BFF"/>
    <w:rsid w:val="00B016E3"/>
    <w:rsid w:val="00B04F15"/>
    <w:rsid w:val="00B12D67"/>
    <w:rsid w:val="00B1488B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95A9D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5ED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C3778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2936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009F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16ECE-3C5A-49A3-8781-DF1E9C42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17180</Words>
  <Characters>97932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3</cp:revision>
  <dcterms:created xsi:type="dcterms:W3CDTF">2021-09-24T08:39:00Z</dcterms:created>
  <dcterms:modified xsi:type="dcterms:W3CDTF">2021-09-24T08:41:00Z</dcterms:modified>
</cp:coreProperties>
</file>