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91EFB8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541A7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541A74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541A74" w:rsidP="00734DA7">
      <w:pPr>
        <w:widowControl/>
        <w:ind w:firstLine="0"/>
        <w:jc w:val="center"/>
      </w:pPr>
      <w:r>
        <w:t>Научная специальность</w:t>
      </w:r>
    </w:p>
    <w:p w:rsidR="00AD7263" w:rsidRDefault="00541A74" w:rsidP="00AD726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E3297E">
        <w:rPr>
          <w:b/>
        </w:rPr>
        <w:t xml:space="preserve"> «Сварка, родственные процессы и технологии»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541A74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>учето</w:t>
      </w:r>
      <w:bookmarkStart w:id="0" w:name="_GoBack"/>
      <w:bookmarkEnd w:id="0"/>
      <w:r w:rsidR="009500CA" w:rsidRPr="0078769F">
        <w:rPr>
          <w:sz w:val="28"/>
          <w:szCs w:val="28"/>
        </w:rPr>
        <w:t xml:space="preserve">м специфики </w:t>
      </w:r>
      <w:r w:rsidR="00541A74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D6873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D687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 xml:space="preserve">способность следовать </w:t>
            </w:r>
            <w:r>
              <w:lastRenderedPageBreak/>
              <w:t>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</w:t>
            </w:r>
            <w:r>
              <w:lastRenderedPageBreak/>
              <w:t>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 xml:space="preserve">аучного доклада об </w:t>
      </w:r>
      <w:r w:rsidRPr="00D22691">
        <w:rPr>
          <w:sz w:val="28"/>
          <w:szCs w:val="28"/>
        </w:rPr>
        <w:lastRenderedPageBreak/>
        <w:t>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</w:t>
      </w:r>
      <w:r w:rsidR="00AD7263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</w:t>
      </w:r>
      <w:r w:rsidR="00AD7263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0413B6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541A74">
        <w:rPr>
          <w:sz w:val="28"/>
          <w:szCs w:val="28"/>
        </w:rPr>
        <w:t xml:space="preserve">научная </w:t>
      </w:r>
      <w:proofErr w:type="spellStart"/>
      <w:r w:rsidR="00541A74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237150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596EB0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596EB0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596EB0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596EB0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ru</w:t>
        </w:r>
        <w:proofErr w:type="spellEnd"/>
        <w:r w:rsidR="0057540E">
          <w:rPr>
            <w:rStyle w:val="a7"/>
            <w:sz w:val="28"/>
            <w:szCs w:val="28"/>
          </w:rPr>
          <w:t>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57540E">
        <w:rPr>
          <w:sz w:val="28"/>
          <w:szCs w:val="28"/>
        </w:rPr>
        <w:t>общест</w:t>
      </w:r>
      <w:proofErr w:type="spellEnd"/>
      <w:r w:rsidR="0057540E">
        <w:rPr>
          <w:sz w:val="28"/>
          <w:szCs w:val="28"/>
        </w:rPr>
        <w:t>.-</w:t>
      </w:r>
      <w:proofErr w:type="spellStart"/>
      <w:r w:rsidR="0057540E">
        <w:rPr>
          <w:sz w:val="28"/>
          <w:szCs w:val="28"/>
        </w:rPr>
        <w:t>научн</w:t>
      </w:r>
      <w:proofErr w:type="spellEnd"/>
      <w:r w:rsidR="0057540E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7540E" w:rsidRDefault="00596EB0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596EB0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7540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B0" w:rsidRDefault="00596EB0" w:rsidP="00E76C7A">
      <w:r>
        <w:separator/>
      </w:r>
    </w:p>
  </w:endnote>
  <w:endnote w:type="continuationSeparator" w:id="0">
    <w:p w:rsidR="00596EB0" w:rsidRDefault="00596EB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B0" w:rsidRDefault="00596EB0" w:rsidP="00E76C7A">
      <w:r>
        <w:separator/>
      </w:r>
    </w:p>
  </w:footnote>
  <w:footnote w:type="continuationSeparator" w:id="0">
    <w:p w:rsidR="00596EB0" w:rsidRDefault="00596EB0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A74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96EB0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D7263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297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4D5C7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BC7B9-9FF6-4900-AB63-135B20E7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8225</Words>
  <Characters>46888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2018-03-21T12:18:00Z</cp:lastPrinted>
  <dcterms:created xsi:type="dcterms:W3CDTF">2021-12-16T17:44:00Z</dcterms:created>
  <dcterms:modified xsi:type="dcterms:W3CDTF">2021-12-16T17:44:00Z</dcterms:modified>
</cp:coreProperties>
</file>