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235F5">
        <w:rPr>
          <w:rFonts w:ascii="Times New Roman" w:hAnsi="Times New Roman" w:cs="Times New Roman"/>
          <w:b/>
          <w:i/>
          <w:sz w:val="24"/>
          <w:szCs w:val="24"/>
        </w:rPr>
        <w:t>Иностранный язык»</w:t>
      </w:r>
    </w:p>
    <w:p w:rsidR="00A235F5" w:rsidRPr="00B71A9F" w:rsidRDefault="00A235F5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F9418F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8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1B7F1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9418F">
        <w:rPr>
          <w:rFonts w:ascii="Times New Roman" w:hAnsi="Times New Roman" w:cs="Times New Roman"/>
          <w:sz w:val="24"/>
          <w:szCs w:val="24"/>
        </w:rPr>
        <w:t xml:space="preserve"> – </w:t>
      </w:r>
      <w:r w:rsidR="001B7F18">
        <w:rPr>
          <w:rFonts w:ascii="Times New Roman" w:hAnsi="Times New Roman" w:cs="Times New Roman"/>
          <w:sz w:val="24"/>
          <w:szCs w:val="24"/>
        </w:rPr>
        <w:t>2.5.8</w:t>
      </w:r>
      <w:r w:rsidRPr="00F9418F">
        <w:rPr>
          <w:rFonts w:ascii="Times New Roman" w:hAnsi="Times New Roman" w:cs="Times New Roman"/>
          <w:sz w:val="24"/>
          <w:szCs w:val="24"/>
        </w:rPr>
        <w:t xml:space="preserve"> «Сварка, родственные процессы и технологии»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B7F18" w:rsidRDefault="001B7F1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(ОПК-1, ОПК-2, ОПК-3, ОПК-4, ОПК-5, ОПК-6, ОПК-8</w:t>
      </w:r>
      <w:bookmarkEnd w:id="1"/>
      <w:r>
        <w:rPr>
          <w:rFonts w:ascii="Times New Roman" w:hAnsi="Times New Roman" w:cs="Times New Roman"/>
          <w:sz w:val="24"/>
          <w:szCs w:val="24"/>
        </w:rPr>
        <w:t>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уметь следовать этическим нормам в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rFonts w:ascii="Times New Roman" w:hAnsi="Times New Roman" w:cs="Times New Roman"/>
          <w:b/>
        </w:rPr>
        <w:t>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нетиповые задачи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научные гипотезы;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проводить сравнительный анализ и критически оценивать результаты исследований и разработок;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проявлять инициативу в ситуациях технического и экономического риска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структурировать результаты выполненных исследований, формулировать обоснованные выводы;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владеть навыками выявления и решения этических проблем в профессиональной деятельности.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научно обоснованной оценки новых решений в области машиностроения;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решения нетиповых задач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аргументированного представления научных гипотез;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применения эмпирических методов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проведении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Дисциплина «Инновационные технологии с использованием комбинированных способов соединений и высококонцентрированных источников нагрева»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pacing w:val="-4"/>
          <w:lang w:eastAsia="en-US"/>
        </w:rPr>
        <w:t>современные научные методы и технологии решения</w:t>
      </w:r>
      <w:r>
        <w:rPr>
          <w:rFonts w:eastAsia="Calibri"/>
          <w:lang w:eastAsia="en-US"/>
        </w:rPr>
        <w:t xml:space="preserve"> исследовательских и практических задач в области сварки, а также родственных процессов и технологий, последовательность выполнения научно-исследовательских работ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области сварки, а также родственных процессов и технологий, самостоятельно определять и изучать особенности и специфику новых решений в области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осуществления поиска, обработки, анализа и систематизации научной информации по теме проводимых исследований, навыками обобщения результатов научной деятельности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параметры, определяющие качество и надежность изделий и технологических процессов образования неразъемных соединений методами сварки и пайки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разрабатывать наукоемкие теоретические модели качества и надежности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совершенствования технологических процессов сварки; навыками разработки теоретических моделей качества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«Сварка, родственные процессы и технологии»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поиска новых научных и профессиональных знаний в своей предметной области;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обобщения результатов научной деятельности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A235F5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0A422F"/>
    <w:rsid w:val="001B7F18"/>
    <w:rsid w:val="002302EE"/>
    <w:rsid w:val="00266748"/>
    <w:rsid w:val="0041510A"/>
    <w:rsid w:val="004E006E"/>
    <w:rsid w:val="005B0631"/>
    <w:rsid w:val="005C2D85"/>
    <w:rsid w:val="005F1749"/>
    <w:rsid w:val="00647229"/>
    <w:rsid w:val="00730508"/>
    <w:rsid w:val="00780F1F"/>
    <w:rsid w:val="00825EE5"/>
    <w:rsid w:val="00A235F5"/>
    <w:rsid w:val="00B9057C"/>
    <w:rsid w:val="00B919E6"/>
    <w:rsid w:val="00E41B4B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BCFB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1B7F18"/>
  </w:style>
  <w:style w:type="paragraph" w:styleId="a5">
    <w:name w:val="No Spacing"/>
    <w:link w:val="a4"/>
    <w:uiPriority w:val="1"/>
    <w:qFormat/>
    <w:rsid w:val="001B7F18"/>
    <w:pPr>
      <w:spacing w:after="0" w:line="240" w:lineRule="auto"/>
    </w:pPr>
  </w:style>
  <w:style w:type="character" w:customStyle="1" w:styleId="FontStyle28">
    <w:name w:val="Font Style28"/>
    <w:uiPriority w:val="99"/>
    <w:rsid w:val="001B7F18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1B7F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2021-12-19T22:46:00Z</dcterms:created>
  <dcterms:modified xsi:type="dcterms:W3CDTF">2021-12-20T07:00:00Z</dcterms:modified>
</cp:coreProperties>
</file>