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B56FCA9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054E41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2.2.9 «Проектирование и технология приборостроения и радиоэлектронной аппаратуры»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A363F" w:rsidRPr="00F54916" w:rsidTr="00E7332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A363F" w:rsidRPr="00A864FE" w:rsidRDefault="00AA363F" w:rsidP="00E7332A">
            <w:pPr>
              <w:widowControl/>
              <w:ind w:firstLine="0"/>
              <w:jc w:val="left"/>
              <w:rPr>
                <w:b/>
              </w:rPr>
            </w:pPr>
            <w:r w:rsidRPr="00A864FE">
              <w:rPr>
                <w:b/>
              </w:rPr>
              <w:t>ПК-1</w:t>
            </w:r>
            <w:r w:rsidRPr="00A864FE"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864FE" w:rsidRDefault="00AA363F" w:rsidP="00E7332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F9789E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 w:rsidRPr="00A864FE">
              <w:rPr>
                <w:b/>
                <w:szCs w:val="28"/>
              </w:rPr>
              <w:t>Уметь</w:t>
            </w:r>
            <w:r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0F0E66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864FE" w:rsidRDefault="00AA363F" w:rsidP="00AA363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</w:t>
            </w:r>
            <w:r>
              <w:rPr>
                <w:szCs w:val="28"/>
              </w:rPr>
              <w:t>и</w:t>
            </w:r>
            <w:r w:rsidRPr="00A864FE">
              <w:rPr>
                <w:szCs w:val="28"/>
              </w:rPr>
              <w:t xml:space="preserve"> отечественных ученых в развитии лазерных технологий; наиболее перспек</w:t>
            </w:r>
            <w:r>
              <w:rPr>
                <w:szCs w:val="28"/>
              </w:rPr>
              <w:t>тивных направлений</w:t>
            </w:r>
            <w:r w:rsidRPr="00A864FE">
              <w:rPr>
                <w:szCs w:val="28"/>
              </w:rPr>
              <w:t xml:space="preserve"> современного развития лазерных технологий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AA363F" w:rsidRDefault="00AA363F" w:rsidP="00B0121C">
            <w:pPr>
              <w:contextualSpacing/>
              <w:rPr>
                <w:kern w:val="24"/>
              </w:rPr>
            </w:pP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AA363F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E7332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E7332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bookmarkStart w:id="1" w:name="_GoBack"/>
      <w:bookmarkEnd w:id="1"/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05" w:rsidRDefault="00D83605" w:rsidP="00E76C7A">
      <w:r>
        <w:separator/>
      </w:r>
    </w:p>
  </w:endnote>
  <w:endnote w:type="continuationSeparator" w:id="0">
    <w:p w:rsidR="00D83605" w:rsidRDefault="00D83605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05" w:rsidRDefault="00D83605" w:rsidP="00E76C7A">
      <w:r>
        <w:separator/>
      </w:r>
    </w:p>
  </w:footnote>
  <w:footnote w:type="continuationSeparator" w:id="0">
    <w:p w:rsidR="00D83605" w:rsidRDefault="00D83605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605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E40F4-FA0B-4293-91BF-34E3FB23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4</cp:revision>
  <cp:lastPrinted>2018-03-21T08:57:00Z</cp:lastPrinted>
  <dcterms:created xsi:type="dcterms:W3CDTF">2021-12-18T14:51:00Z</dcterms:created>
  <dcterms:modified xsi:type="dcterms:W3CDTF">2021-12-18T14:57:00Z</dcterms:modified>
</cp:coreProperties>
</file>