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858444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803897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2.2.8 «Методы и приборы контроля и диагностики материалов, изделий, веществ и природной среды»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8050B5" w:rsidRPr="00F54916" w:rsidTr="0068255C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b/>
                <w:szCs w:val="28"/>
              </w:rPr>
            </w:pPr>
            <w:bookmarkStart w:id="1" w:name="_GoBack" w:colFirst="0" w:colLast="1"/>
            <w:r>
              <w:rPr>
                <w:b/>
                <w:spacing w:val="-2"/>
                <w:szCs w:val="28"/>
              </w:rPr>
              <w:t>ПК-1</w:t>
            </w:r>
            <w:r>
              <w:rPr>
                <w:spacing w:val="-2"/>
                <w:szCs w:val="28"/>
              </w:rPr>
              <w:t xml:space="preserve"> (</w:t>
            </w:r>
            <w:r>
              <w:rPr>
                <w:szCs w:val="28"/>
              </w:rPr>
              <w:t>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</w:t>
            </w:r>
            <w:r>
              <w:rPr>
                <w:spacing w:val="-2"/>
                <w:szCs w:val="28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8050B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color w:val="000000"/>
                <w:lang w:eastAsia="en-US"/>
              </w:rPr>
      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F9789E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</w:tr>
      <w:tr w:rsidR="008050B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050B5" w:rsidRPr="000F0E66" w:rsidRDefault="008050B5" w:rsidP="008050B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050B5" w:rsidRPr="00AA363F" w:rsidRDefault="008050B5" w:rsidP="008050B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</w:tr>
      <w:bookmarkEnd w:id="1"/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lastRenderedPageBreak/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926355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926355">
              <w:rPr>
                <w:b/>
                <w:szCs w:val="28"/>
              </w:rPr>
              <w:t xml:space="preserve"> </w:t>
            </w:r>
            <w:r>
              <w:rPr>
                <w:color w:val="000000"/>
                <w:lang w:eastAsia="en-US"/>
              </w:rPr>
              <w:t>теоретических основ</w:t>
            </w:r>
            <w:r w:rsidRPr="00926355">
              <w:rPr>
                <w:color w:val="000000"/>
                <w:lang w:eastAsia="en-US"/>
              </w:rPr>
              <w:t xml:space="preserve"> методов оценки технологичности конструкторских решений, разработки техпроцессов сборки (юстировки) и контроля блоков, узлов и деталей приборов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050B5" w:rsidRDefault="008050B5" w:rsidP="008050B5">
            <w:pPr>
              <w:contextualSpacing/>
              <w:rPr>
                <w:kern w:val="24"/>
              </w:rPr>
            </w:pP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Умение</w:t>
            </w:r>
            <w:r w:rsidRPr="00926355">
              <w:rPr>
                <w:b/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проектировать, разрабатывать и внедрять техпроцессы, рассчитывать режимы производства, контроля качества приборов, систем и их элементов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050B5" w:rsidRPr="00B06A52" w:rsidTr="00AA363F">
        <w:trPr>
          <w:trHeight w:val="240"/>
        </w:trPr>
        <w:tc>
          <w:tcPr>
            <w:tcW w:w="1668" w:type="dxa"/>
          </w:tcPr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050B5" w:rsidRPr="00660C7E" w:rsidRDefault="008050B5" w:rsidP="008050B5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050B5" w:rsidRPr="006A3C7C" w:rsidRDefault="008050B5" w:rsidP="008050B5">
            <w:pPr>
              <w:widowControl/>
              <w:ind w:firstLine="0"/>
              <w:jc w:val="left"/>
              <w:rPr>
                <w:szCs w:val="28"/>
              </w:rPr>
            </w:pPr>
            <w:r w:rsidRPr="00926355">
              <w:rPr>
                <w:b/>
                <w:szCs w:val="28"/>
              </w:rPr>
              <w:t>Владе</w:t>
            </w:r>
            <w:r>
              <w:rPr>
                <w:b/>
                <w:szCs w:val="28"/>
              </w:rPr>
              <w:t>ние</w:t>
            </w:r>
            <w:r w:rsidRPr="00926355">
              <w:rPr>
                <w:szCs w:val="28"/>
              </w:rPr>
              <w:t xml:space="preserve"> </w:t>
            </w:r>
            <w:r w:rsidRPr="00926355">
              <w:rPr>
                <w:color w:val="000000"/>
                <w:lang w:eastAsia="en-US"/>
              </w:rPr>
              <w:t>навыками разработки технических заданий на проектирование приспособлений, оснастки и специального инструмента, предусмотренных технологией</w:t>
            </w:r>
          </w:p>
        </w:tc>
        <w:tc>
          <w:tcPr>
            <w:tcW w:w="1701" w:type="dxa"/>
          </w:tcPr>
          <w:p w:rsidR="008050B5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050B5" w:rsidRPr="00D04E6B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050B5" w:rsidRPr="00545A9D" w:rsidRDefault="008050B5" w:rsidP="008050B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050B5" w:rsidRDefault="008050B5" w:rsidP="008050B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803897">
        <w:rPr>
          <w:sz w:val="28"/>
          <w:szCs w:val="28"/>
        </w:rPr>
        <w:t>2.2.8 «Методы и приборы контроля и диагностики материалов, изделий, веществ и природной среды»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6B" w:rsidRDefault="00436D6B" w:rsidP="00E76C7A">
      <w:r>
        <w:separator/>
      </w:r>
    </w:p>
  </w:endnote>
  <w:endnote w:type="continuationSeparator" w:id="0">
    <w:p w:rsidR="00436D6B" w:rsidRDefault="00436D6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6B" w:rsidRDefault="00436D6B" w:rsidP="00E76C7A">
      <w:r>
        <w:separator/>
      </w:r>
    </w:p>
  </w:footnote>
  <w:footnote w:type="continuationSeparator" w:id="0">
    <w:p w:rsidR="00436D6B" w:rsidRDefault="00436D6B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3622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36D6B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4C96"/>
    <w:rsid w:val="007F57BC"/>
    <w:rsid w:val="00801739"/>
    <w:rsid w:val="00801FFB"/>
    <w:rsid w:val="00802B95"/>
    <w:rsid w:val="00803897"/>
    <w:rsid w:val="0080454F"/>
    <w:rsid w:val="008050B5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161C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A847-DB69-4924-AF98-83020411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8082</Words>
  <Characters>46072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2021-12-18T15:02:00Z</dcterms:created>
  <dcterms:modified xsi:type="dcterms:W3CDTF">2021-12-18T15:02:00Z</dcterms:modified>
</cp:coreProperties>
</file>