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054E41" w:rsidTr="00054E41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54E41" w:rsidRDefault="00054E41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8365" cy="1005840"/>
                  <wp:effectExtent l="0" t="0" r="6985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E41" w:rsidTr="00054E41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54E41" w:rsidRDefault="00054E4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54E41" w:rsidRDefault="00054E41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54E41" w:rsidRDefault="00054E4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54E41" w:rsidTr="00054E41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54E41" w:rsidRDefault="00054E41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54E41" w:rsidRDefault="00054E41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54E41" w:rsidRDefault="00054E4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54E41" w:rsidRDefault="00054E41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54E41" w:rsidRDefault="00054E41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AD64E2F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054E41" w:rsidRDefault="00054E41" w:rsidP="00054E41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54E41" w:rsidTr="00054E41">
        <w:tc>
          <w:tcPr>
            <w:tcW w:w="2500" w:type="pct"/>
          </w:tcPr>
          <w:p w:rsidR="00054E41" w:rsidRDefault="00054E41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054E41" w:rsidRDefault="00054E41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054E41" w:rsidRDefault="00054E41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054E41" w:rsidRDefault="00054E41">
            <w:pPr>
              <w:suppressAutoHyphens/>
              <w:spacing w:line="360" w:lineRule="auto"/>
              <w:ind w:firstLine="0"/>
              <w:jc w:val="center"/>
            </w:pPr>
            <w:r>
              <w:t>____________________ Н.И. Прокопов</w:t>
            </w:r>
          </w:p>
          <w:p w:rsidR="00054E41" w:rsidRDefault="00054E41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F9789E" w:rsidRDefault="00F9789E" w:rsidP="00734DA7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12</w:t>
      </w:r>
      <w:r w:rsidR="00566281" w:rsidRPr="00660C7E">
        <w:rPr>
          <w:rFonts w:eastAsia="HiddenHorzOCR"/>
          <w:b/>
        </w:rPr>
        <w:t>.06.01 «</w:t>
      </w:r>
      <w:proofErr w:type="spellStart"/>
      <w:r w:rsidRPr="002E1F1F">
        <w:rPr>
          <w:rFonts w:eastAsia="HiddenHorzOCR"/>
          <w:b/>
        </w:rPr>
        <w:t>Фотоника</w:t>
      </w:r>
      <w:proofErr w:type="spellEnd"/>
      <w:r w:rsidRPr="002E1F1F">
        <w:rPr>
          <w:rFonts w:eastAsia="HiddenHorzOCR"/>
          <w:b/>
        </w:rPr>
        <w:t>, приборостроение, опти</w:t>
      </w:r>
      <w:r>
        <w:rPr>
          <w:rFonts w:eastAsia="HiddenHorzOCR"/>
          <w:b/>
        </w:rPr>
        <w:t>ческие и биотехнические системы</w:t>
      </w:r>
    </w:p>
    <w:p w:rsidR="00C5571B" w:rsidRPr="005560D3" w:rsidRDefault="00F9789E" w:rsidP="00734DA7">
      <w:pPr>
        <w:widowControl/>
        <w:ind w:firstLine="0"/>
        <w:jc w:val="center"/>
        <w:rPr>
          <w:b/>
        </w:rPr>
      </w:pPr>
      <w:r w:rsidRPr="002E1F1F">
        <w:rPr>
          <w:rFonts w:eastAsia="HiddenHorzOCR"/>
          <w:b/>
        </w:rPr>
        <w:t>и технологии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054E41" w:rsidP="00734DA7">
      <w:pPr>
        <w:widowControl/>
        <w:ind w:firstLine="0"/>
        <w:jc w:val="center"/>
      </w:pPr>
      <w:r>
        <w:t>Научная специальность</w:t>
      </w:r>
    </w:p>
    <w:p w:rsidR="00F9789E" w:rsidRDefault="00334FE5" w:rsidP="00AA363F">
      <w:pPr>
        <w:ind w:firstLine="0"/>
        <w:jc w:val="center"/>
        <w:rPr>
          <w:b/>
          <w:bCs/>
        </w:rPr>
      </w:pPr>
      <w:r>
        <w:rPr>
          <w:b/>
          <w:bCs/>
        </w:rPr>
        <w:t>2.2.6 «Оптические и оптоэлектронные приборы и комплексы»</w:t>
      </w:r>
    </w:p>
    <w:p w:rsidR="00C5571B" w:rsidRDefault="00C5571B" w:rsidP="00734DA7">
      <w:pPr>
        <w:widowControl/>
        <w:ind w:firstLine="0"/>
        <w:jc w:val="center"/>
      </w:pPr>
    </w:p>
    <w:p w:rsidR="00F9789E" w:rsidRPr="005560D3" w:rsidRDefault="00F9789E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133036" w:rsidRDefault="00C5571B" w:rsidP="00133036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734DA7">
      <w:pPr>
        <w:widowControl/>
        <w:ind w:firstLine="0"/>
        <w:jc w:val="center"/>
      </w:pPr>
    </w:p>
    <w:p w:rsidR="00AA363F" w:rsidRDefault="00AA363F" w:rsidP="00734DA7">
      <w:pPr>
        <w:widowControl/>
        <w:ind w:firstLine="0"/>
        <w:jc w:val="center"/>
      </w:pPr>
    </w:p>
    <w:p w:rsidR="00334FE5" w:rsidRDefault="00334FE5" w:rsidP="00734DA7">
      <w:pPr>
        <w:widowControl/>
        <w:ind w:firstLine="0"/>
        <w:jc w:val="center"/>
      </w:pPr>
    </w:p>
    <w:p w:rsidR="006A3C7C" w:rsidRPr="00C806A2" w:rsidRDefault="006A3C7C" w:rsidP="00734DA7">
      <w:pPr>
        <w:widowControl/>
        <w:ind w:firstLine="0"/>
        <w:jc w:val="center"/>
      </w:pPr>
    </w:p>
    <w:p w:rsidR="00C5571B" w:rsidRDefault="00054E41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F9789E" w:rsidRPr="002E1F1F" w:rsidRDefault="000C0588" w:rsidP="00F9789E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133036">
        <w:rPr>
          <w:sz w:val="28"/>
          <w:szCs w:val="28"/>
        </w:rPr>
        <w:t>1</w:t>
      </w:r>
      <w:r w:rsidR="00F9789E">
        <w:rPr>
          <w:sz w:val="28"/>
          <w:szCs w:val="28"/>
        </w:rPr>
        <w:t>2</w:t>
      </w:r>
      <w:r w:rsidR="007C73E6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</w:t>
      </w:r>
      <w:r w:rsidR="009500CA" w:rsidRPr="0078769F">
        <w:rPr>
          <w:sz w:val="28"/>
          <w:szCs w:val="28"/>
        </w:rPr>
        <w:t xml:space="preserve">учетом специфики </w:t>
      </w:r>
      <w:r w:rsidR="00054E41">
        <w:rPr>
          <w:sz w:val="28"/>
          <w:szCs w:val="28"/>
        </w:rPr>
        <w:t>научной специальности</w:t>
      </w:r>
      <w:r w:rsidR="009500CA" w:rsidRPr="0078769F">
        <w:rPr>
          <w:sz w:val="28"/>
          <w:szCs w:val="28"/>
        </w:rPr>
        <w:t xml:space="preserve"> –</w:t>
      </w:r>
      <w:r w:rsidR="00133036">
        <w:rPr>
          <w:sz w:val="28"/>
          <w:szCs w:val="28"/>
        </w:rPr>
        <w:t xml:space="preserve"> </w:t>
      </w:r>
      <w:r w:rsidR="00334FE5">
        <w:rPr>
          <w:sz w:val="28"/>
          <w:szCs w:val="28"/>
        </w:rPr>
        <w:t>2.2.6 «Оптические и оптоэлектронные приборы и комплексы»</w:t>
      </w:r>
      <w:r w:rsidR="00F9789E">
        <w:rPr>
          <w:sz w:val="28"/>
          <w:szCs w:val="28"/>
        </w:rPr>
        <w:t>.</w:t>
      </w:r>
    </w:p>
    <w:p w:rsidR="0096673C" w:rsidRPr="005560D3" w:rsidRDefault="0096673C" w:rsidP="00212D46">
      <w:pPr>
        <w:ind w:firstLine="709"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F9789E">
        <w:rPr>
          <w:sz w:val="28"/>
          <w:szCs w:val="28"/>
        </w:rPr>
        <w:t>12</w:t>
      </w:r>
      <w:r w:rsidR="007C73E6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054E41">
        <w:rPr>
          <w:sz w:val="28"/>
          <w:szCs w:val="28"/>
        </w:rPr>
        <w:t>научная специальность</w:t>
      </w:r>
      <w:r w:rsidR="00F9789E">
        <w:rPr>
          <w:sz w:val="28"/>
          <w:szCs w:val="28"/>
        </w:rPr>
        <w:t xml:space="preserve"> </w:t>
      </w:r>
      <w:r w:rsidR="00334FE5">
        <w:rPr>
          <w:sz w:val="28"/>
          <w:szCs w:val="28"/>
        </w:rPr>
        <w:t>2.2.6 «Оптические и оптоэлектронные приборы и комплексы»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E733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E733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lastRenderedPageBreak/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E7332A" w:rsidRDefault="00E7332A" w:rsidP="00E7332A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E7332A" w:rsidRDefault="00E7332A" w:rsidP="00E7332A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E7332A" w:rsidRDefault="00E7332A" w:rsidP="00E7332A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E7332A" w:rsidRDefault="00E7332A" w:rsidP="00E7332A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D74402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E733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E7332A" w:rsidRDefault="00E7332A" w:rsidP="00E7332A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E7332A" w:rsidRDefault="00E7332A" w:rsidP="00E7332A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E7332A" w:rsidRDefault="00E7332A" w:rsidP="00E7332A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E7332A" w:rsidRDefault="00E7332A" w:rsidP="00E7332A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E7332A" w:rsidRDefault="00E7332A" w:rsidP="00E7332A">
            <w:pPr>
              <w:ind w:firstLine="0"/>
            </w:pPr>
            <w:r>
              <w:t>- различными методами, технологиями и типами коммуни</w:t>
            </w:r>
            <w:r>
              <w:lastRenderedPageBreak/>
              <w:t>каций при осуществлении профессиональной деятельности на государственном и иностранном языках</w:t>
            </w:r>
          </w:p>
        </w:tc>
      </w:tr>
      <w:tr w:rsidR="00E733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lastRenderedPageBreak/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7C73E6" w:rsidP="00D74402">
            <w:pPr>
              <w:ind w:firstLine="0"/>
              <w:contextualSpacing/>
            </w:pPr>
            <w:r>
              <w:rPr>
                <w:b/>
              </w:rPr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 предлагать пути решения, выбирать методику и средства проведения научных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основы методологии научного исследования и структуру научного исследования;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оценивать и выбирать методику научного исследования;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выбора методики и средств проведения научных исследований в соответствии с целями и задачами научного исследования.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(владение методикой разработки математических и физических моделей исследуемых процессов, явлений и объектов, относящихся к профессиональной сфере)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E7332A" w:rsidRDefault="00E7332A" w:rsidP="00E7332A">
            <w:pPr>
              <w:ind w:firstLine="0"/>
              <w:jc w:val="left"/>
            </w:pPr>
            <w:r>
              <w:t>- соотношение методологии, методов и методики научного исследования;</w:t>
            </w:r>
          </w:p>
          <w:p w:rsidR="00E7332A" w:rsidRDefault="00E7332A" w:rsidP="00E7332A">
            <w:pPr>
              <w:ind w:firstLine="0"/>
              <w:jc w:val="left"/>
            </w:pPr>
            <w:r>
              <w:t>- классификацию моделей;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анализировать философские аспекты и особенности моделирования как метода исследования процессов, явлений и объектов, относящихся к профессиональной сфере; 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анализа основных факторов, влияющих на разработку математических и физических моделей исследуемых процессов, явлений и объектов, относящихся к профессиональной сфере.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планировать и проводить эксперименты, обрабатывать и анализировать их результаты)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структуру и методы эмпирического уровня научного исследования; 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структуру и методы эмпирического уровня научного исследования;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применения эмпирических методов научного исследования.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ОПК-5 </w:t>
            </w:r>
            <w:r>
              <w:t>(способностью оценивать научную значимость и перспективы прикладного использования результатов исследования)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t>методики и средства проведения научных исследований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t xml:space="preserve"> выбирать пути решения исследовательских задач, методики и средства проведения научных исследований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>ОПК-6</w:t>
            </w:r>
            <w:r>
              <w:t xml:space="preserve"> (способностью к разработке способностью подготавливать научно-технические отчеты и публикаций по результатам выполненных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Уметь </w:t>
            </w:r>
            <w:r>
              <w:t>подготавливать научно-технические отчеты и публикации по результатам выполненных исследований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6676C7" w:rsidP="002122F0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</w:t>
            </w:r>
            <w:r w:rsidR="00F9789E">
              <w:rPr>
                <w:b/>
                <w:spacing w:val="-2"/>
              </w:rPr>
              <w:t>7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334FE5" w:rsidRPr="00F54916" w:rsidTr="0068255C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34FE5" w:rsidRDefault="00334FE5" w:rsidP="00334FE5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(готовность осуществлять комплексные исследования современных оптических и оптико-электронных приборов и комплексов)</w:t>
            </w:r>
          </w:p>
        </w:tc>
        <w:tc>
          <w:tcPr>
            <w:tcW w:w="3228" w:type="pct"/>
            <w:shd w:val="clear" w:color="auto" w:fill="auto"/>
          </w:tcPr>
          <w:p w:rsidR="00334FE5" w:rsidRDefault="00334FE5" w:rsidP="00334FE5">
            <w:pPr>
              <w:ind w:firstLine="0"/>
            </w:pPr>
            <w:r>
              <w:rPr>
                <w:b/>
              </w:rPr>
              <w:t xml:space="preserve">Знать </w:t>
            </w:r>
            <w:r>
              <w:t>физические принципы и конструктивные решения, лежащие в основе современных</w:t>
            </w:r>
          </w:p>
        </w:tc>
      </w:tr>
      <w:tr w:rsidR="00334FE5" w:rsidRPr="00F54916" w:rsidTr="0068255C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34FE5" w:rsidRPr="00F9789E" w:rsidRDefault="00334FE5" w:rsidP="00334FE5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34FE5" w:rsidRPr="00AA363F" w:rsidRDefault="00334FE5" w:rsidP="00334FE5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</w:rPr>
              <w:t>Уметь</w:t>
            </w:r>
            <w:r>
              <w:t xml:space="preserve"> выбирать и использовать оптимальные технические решения при исследовании и разработке современных оптических и оптико-электронных приборов и комплексов</w:t>
            </w:r>
          </w:p>
        </w:tc>
      </w:tr>
      <w:tr w:rsidR="00334FE5" w:rsidRPr="00F54916" w:rsidTr="0068255C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34FE5" w:rsidRPr="000F0E66" w:rsidRDefault="00334FE5" w:rsidP="00334FE5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34FE5" w:rsidRPr="00AA363F" w:rsidRDefault="00334FE5" w:rsidP="00334FE5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</w:rPr>
              <w:t>Владеть</w:t>
            </w:r>
            <w:r>
              <w:t xml:space="preserve"> навыками разработки и исследования оптических и оптико-электронных приборов и комплексов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proofErr w:type="gramStart"/>
      <w:r w:rsidR="00DB61E1">
        <w:rPr>
          <w:sz w:val="28"/>
          <w:szCs w:val="28"/>
        </w:rPr>
        <w:t xml:space="preserve">аттестации </w:t>
      </w:r>
      <w:r w:rsidRPr="00C079DF">
        <w:rPr>
          <w:sz w:val="28"/>
          <w:szCs w:val="28"/>
        </w:rPr>
        <w:t xml:space="preserve"> составляет</w:t>
      </w:r>
      <w:proofErr w:type="gramEnd"/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</w:t>
      </w:r>
      <w:r w:rsidR="00E7332A">
        <w:rPr>
          <w:sz w:val="28"/>
          <w:szCs w:val="28"/>
        </w:rPr>
        <w:t xml:space="preserve">         </w:t>
      </w:r>
      <w:r w:rsidR="000F0E66">
        <w:rPr>
          <w:sz w:val="28"/>
          <w:szCs w:val="28"/>
        </w:rPr>
        <w:t xml:space="preserve">                </w:t>
      </w:r>
      <w:r w:rsidRPr="004C04CA">
        <w:rPr>
          <w:sz w:val="28"/>
          <w:szCs w:val="28"/>
        </w:rPr>
        <w:lastRenderedPageBreak/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</w:t>
      </w:r>
      <w:r w:rsidR="00E7332A">
        <w:rPr>
          <w:sz w:val="28"/>
          <w:szCs w:val="28"/>
        </w:rPr>
        <w:t xml:space="preserve">                   </w:t>
      </w:r>
      <w:r w:rsidR="000F0E66">
        <w:rPr>
          <w:sz w:val="28"/>
          <w:szCs w:val="28"/>
        </w:rPr>
        <w:t xml:space="preserve">   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054E4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054E4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054E4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054E4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огика и строй презентации. Типовые вопросы членов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lastRenderedPageBreak/>
              <w:t>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F9789E">
        <w:rPr>
          <w:sz w:val="28"/>
          <w:szCs w:val="28"/>
        </w:rPr>
        <w:t>12</w:t>
      </w:r>
      <w:r w:rsidR="00F9789E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="00F9789E" w:rsidRPr="000C0588">
        <w:rPr>
          <w:sz w:val="28"/>
          <w:szCs w:val="28"/>
        </w:rPr>
        <w:t>»</w:t>
      </w:r>
      <w:r w:rsidR="00F9789E" w:rsidRPr="00131E68">
        <w:rPr>
          <w:sz w:val="28"/>
          <w:szCs w:val="28"/>
        </w:rPr>
        <w:t xml:space="preserve">, </w:t>
      </w:r>
      <w:r w:rsidR="00054E41">
        <w:rPr>
          <w:sz w:val="28"/>
          <w:szCs w:val="28"/>
        </w:rPr>
        <w:t>научная специальность</w:t>
      </w:r>
      <w:r w:rsidR="00F9789E">
        <w:rPr>
          <w:sz w:val="28"/>
          <w:szCs w:val="28"/>
        </w:rPr>
        <w:t xml:space="preserve"> </w:t>
      </w:r>
      <w:r w:rsidR="00334FE5">
        <w:rPr>
          <w:sz w:val="28"/>
          <w:szCs w:val="28"/>
        </w:rPr>
        <w:t>2.2.6 «Оптические и оптоэлектронные приборы и комплексы»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</w:t>
      </w:r>
      <w:r w:rsidR="002E503C">
        <w:rPr>
          <w:sz w:val="28"/>
          <w:szCs w:val="28"/>
        </w:rPr>
        <w:lastRenderedPageBreak/>
        <w:t>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F9789E">
        <w:rPr>
          <w:sz w:val="28"/>
          <w:szCs w:val="28"/>
        </w:rPr>
        <w:t>12</w:t>
      </w:r>
      <w:r w:rsidR="00F9789E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="00F9789E" w:rsidRPr="000C0588">
        <w:rPr>
          <w:sz w:val="28"/>
          <w:szCs w:val="28"/>
        </w:rPr>
        <w:t>»</w:t>
      </w:r>
      <w:r w:rsidR="00F9789E" w:rsidRPr="00131E68">
        <w:rPr>
          <w:sz w:val="28"/>
          <w:szCs w:val="28"/>
        </w:rPr>
        <w:t xml:space="preserve">, </w:t>
      </w:r>
      <w:r w:rsidR="00054E41">
        <w:rPr>
          <w:sz w:val="28"/>
          <w:szCs w:val="28"/>
        </w:rPr>
        <w:t>научная специальность</w:t>
      </w:r>
      <w:r w:rsidR="00F9789E">
        <w:rPr>
          <w:sz w:val="28"/>
          <w:szCs w:val="28"/>
        </w:rPr>
        <w:t xml:space="preserve"> </w:t>
      </w:r>
      <w:r w:rsidR="00334FE5">
        <w:rPr>
          <w:sz w:val="28"/>
          <w:szCs w:val="28"/>
        </w:rPr>
        <w:t>2.2.6 «Оптические и оптоэлектронные приборы и комплексы»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lastRenderedPageBreak/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054E41">
        <w:rPr>
          <w:sz w:val="28"/>
          <w:szCs w:val="28"/>
        </w:rPr>
        <w:t xml:space="preserve">научная </w:t>
      </w:r>
      <w:proofErr w:type="spellStart"/>
      <w:r w:rsidR="00054E41">
        <w:rPr>
          <w:sz w:val="28"/>
          <w:szCs w:val="28"/>
        </w:rPr>
        <w:t>специальность</w:t>
      </w:r>
      <w:r w:rsidRPr="00ED4FAA">
        <w:rPr>
          <w:sz w:val="28"/>
          <w:szCs w:val="28"/>
        </w:rPr>
        <w:t>ного</w:t>
      </w:r>
      <w:proofErr w:type="spellEnd"/>
      <w:r w:rsidR="00AB17AB" w:rsidRPr="00ED4FAA">
        <w:rPr>
          <w:sz w:val="28"/>
          <w:szCs w:val="28"/>
        </w:rPr>
        <w:t xml:space="preserve"> 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</w:t>
      </w:r>
      <w:proofErr w:type="gramStart"/>
      <w:r w:rsidRPr="00F632E6">
        <w:rPr>
          <w:sz w:val="28"/>
          <w:szCs w:val="28"/>
        </w:rPr>
        <w:t>40,ст.</w:t>
      </w:r>
      <w:proofErr w:type="gramEnd"/>
      <w:r w:rsidRPr="00F632E6">
        <w:rPr>
          <w:sz w:val="28"/>
          <w:szCs w:val="28"/>
        </w:rPr>
        <w:t xml:space="preserve">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</w:t>
      </w:r>
      <w:proofErr w:type="spellStart"/>
      <w:r w:rsidRPr="00ED4FAA">
        <w:rPr>
          <w:sz w:val="28"/>
          <w:szCs w:val="28"/>
        </w:rPr>
        <w:t>сформированности</w:t>
      </w:r>
      <w:proofErr w:type="spellEnd"/>
      <w:r w:rsidRPr="00ED4FAA">
        <w:rPr>
          <w:sz w:val="28"/>
          <w:szCs w:val="28"/>
        </w:rPr>
        <w:t xml:space="preserve">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</w:t>
      </w:r>
      <w:proofErr w:type="spellStart"/>
      <w:r w:rsidR="00B0121C" w:rsidRPr="00ED4FAA">
        <w:rPr>
          <w:sz w:val="28"/>
          <w:szCs w:val="28"/>
        </w:rPr>
        <w:t>недопуске</w:t>
      </w:r>
      <w:proofErr w:type="spellEnd"/>
      <w:r w:rsidR="00B0121C" w:rsidRPr="00ED4FAA">
        <w:rPr>
          <w:sz w:val="28"/>
          <w:szCs w:val="28"/>
        </w:rPr>
        <w:t xml:space="preserve">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также отмечаются недостатки работы. В заключительной части 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</w:t>
      </w:r>
      <w:r w:rsidRPr="00F632E6">
        <w:rPr>
          <w:sz w:val="28"/>
          <w:szCs w:val="28"/>
        </w:rPr>
        <w:lastRenderedPageBreak/>
        <w:t>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96A99" w:rsidRDefault="00596A99" w:rsidP="00596A99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596A99" w:rsidRDefault="00596A99" w:rsidP="00596A99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</w:t>
            </w:r>
            <w:r>
              <w:lastRenderedPageBreak/>
              <w:t xml:space="preserve">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</w:t>
            </w:r>
            <w:r>
              <w:rPr>
                <w:color w:val="000000"/>
                <w:kern w:val="24"/>
              </w:rPr>
              <w:lastRenderedPageBreak/>
              <w:t>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следовать основным нормам, принятым в научном </w:t>
            </w:r>
            <w:r>
              <w:lastRenderedPageBreak/>
              <w:t>общении на государственном и иностранном языках.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283BB3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96A99" w:rsidRPr="009C5417" w:rsidRDefault="00596A99" w:rsidP="00596A99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596A99" w:rsidRPr="00DA515E" w:rsidRDefault="00596A99" w:rsidP="00596A9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A515E" w:rsidRDefault="00596A99" w:rsidP="00596A9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96A99" w:rsidRPr="00DA515E" w:rsidRDefault="00596A99" w:rsidP="00596A9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596A99" w:rsidRPr="00DA515E" w:rsidRDefault="00596A99" w:rsidP="00596A9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A515E" w:rsidRDefault="00596A99" w:rsidP="00596A9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96A99" w:rsidRPr="007003E1" w:rsidRDefault="00596A99" w:rsidP="00596A99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Знать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</w:tc>
        <w:tc>
          <w:tcPr>
            <w:tcW w:w="1984" w:type="dxa"/>
          </w:tcPr>
          <w:p w:rsidR="00596A99" w:rsidRPr="00545A9D" w:rsidRDefault="00596A99" w:rsidP="00596A9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contextualSpacing/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методологии научного исследования и структуры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оценивать и выбирать методику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выбора методики и средств проведения научных исследований в соответствии с целями и задачами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соотношения методологии, методов и методики научного исследования; классификации моделей.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философские аспекты и особенности моделирования как метода исследования процессов, явлений и объектов, относящихся к профессиональной сфере.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основных факторов, влияющих на разработку математических и физических моделей исследуемых процессов, явлений и объектов, относящихся к профессиональной сфере.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методики и средства проведения научных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выбирать пути решения исследовательских задач, методики и средства проведения научных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Владеть </w:t>
            </w:r>
          </w:p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96A99" w:rsidRDefault="00596A99" w:rsidP="00596A99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96A99" w:rsidRDefault="00596A99" w:rsidP="00596A99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подготавливать научно-технические отчеты и публикации по результатам выполненных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F9789E">
              <w:rPr>
                <w:b/>
              </w:rPr>
              <w:t>7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F9789E">
              <w:rPr>
                <w:b/>
              </w:rPr>
              <w:t>7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</w:t>
            </w:r>
            <w:r w:rsidRPr="00237150"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Владеть</w:t>
            </w:r>
          </w:p>
          <w:p w:rsidR="007003E1" w:rsidRPr="00660C7E" w:rsidRDefault="006676C7" w:rsidP="0013303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F9789E">
              <w:rPr>
                <w:b/>
              </w:rPr>
              <w:t>7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334FE5" w:rsidRPr="00B06A52" w:rsidTr="00AA363F">
        <w:trPr>
          <w:trHeight w:val="240"/>
        </w:trPr>
        <w:tc>
          <w:tcPr>
            <w:tcW w:w="1668" w:type="dxa"/>
          </w:tcPr>
          <w:p w:rsidR="00334FE5" w:rsidRDefault="00334FE5" w:rsidP="00334FE5">
            <w:pPr>
              <w:ind w:firstLine="0"/>
              <w:jc w:val="center"/>
              <w:rPr>
                <w:b/>
              </w:rPr>
            </w:pPr>
            <w:bookmarkStart w:id="1" w:name="_GoBack" w:colFirst="0" w:colLast="1"/>
            <w:r>
              <w:rPr>
                <w:b/>
              </w:rPr>
              <w:t>Знать</w:t>
            </w:r>
          </w:p>
          <w:p w:rsidR="00334FE5" w:rsidRDefault="00334FE5" w:rsidP="00334FE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334FE5" w:rsidRDefault="00334FE5" w:rsidP="00334FE5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физических принципов и конструктивных решений, лежащих в основе современных</w:t>
            </w:r>
          </w:p>
        </w:tc>
        <w:tc>
          <w:tcPr>
            <w:tcW w:w="1701" w:type="dxa"/>
          </w:tcPr>
          <w:p w:rsidR="00334FE5" w:rsidRDefault="00334FE5" w:rsidP="00334FE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34FE5" w:rsidRPr="00545A9D" w:rsidRDefault="00334FE5" w:rsidP="00334FE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4FE5" w:rsidRPr="00D04E6B" w:rsidRDefault="00334FE5" w:rsidP="00334FE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4FE5" w:rsidRPr="00D04E6B" w:rsidRDefault="00334FE5" w:rsidP="00334FE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4FE5" w:rsidRPr="00545A9D" w:rsidRDefault="00334FE5" w:rsidP="00334FE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4FE5" w:rsidRPr="00545A9D" w:rsidRDefault="00334FE5" w:rsidP="00334FE5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334FE5" w:rsidRDefault="00334FE5" w:rsidP="00334FE5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334FE5" w:rsidRDefault="00334FE5" w:rsidP="00334FE5">
            <w:pPr>
              <w:contextualSpacing/>
              <w:rPr>
                <w:kern w:val="24"/>
              </w:rPr>
            </w:pPr>
          </w:p>
        </w:tc>
      </w:tr>
      <w:tr w:rsidR="00334FE5" w:rsidRPr="00B06A52" w:rsidTr="00AA363F">
        <w:trPr>
          <w:trHeight w:val="240"/>
        </w:trPr>
        <w:tc>
          <w:tcPr>
            <w:tcW w:w="1668" w:type="dxa"/>
          </w:tcPr>
          <w:p w:rsidR="00334FE5" w:rsidRDefault="00334FE5" w:rsidP="00334FE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34FE5" w:rsidRDefault="00334FE5" w:rsidP="00334FE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334FE5" w:rsidRDefault="00334FE5" w:rsidP="00334FE5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выбирать и использовать оптимальные технические решения при исследовании и разработке современных оптических и оптико-электронных приборов и комплексов</w:t>
            </w:r>
          </w:p>
        </w:tc>
        <w:tc>
          <w:tcPr>
            <w:tcW w:w="1701" w:type="dxa"/>
          </w:tcPr>
          <w:p w:rsidR="00334FE5" w:rsidRDefault="00334FE5" w:rsidP="00334FE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334FE5" w:rsidRPr="00545A9D" w:rsidRDefault="00334FE5" w:rsidP="00334FE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4FE5" w:rsidRPr="00D04E6B" w:rsidRDefault="00334FE5" w:rsidP="00334FE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4FE5" w:rsidRPr="00D04E6B" w:rsidRDefault="00334FE5" w:rsidP="00334FE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4FE5" w:rsidRPr="00545A9D" w:rsidRDefault="00334FE5" w:rsidP="00334FE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4FE5" w:rsidRPr="00545A9D" w:rsidRDefault="00334FE5" w:rsidP="00334FE5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334FE5" w:rsidRDefault="00334FE5" w:rsidP="00334FE5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34FE5" w:rsidRPr="00B06A52" w:rsidTr="00AA363F">
        <w:trPr>
          <w:trHeight w:val="240"/>
        </w:trPr>
        <w:tc>
          <w:tcPr>
            <w:tcW w:w="1668" w:type="dxa"/>
          </w:tcPr>
          <w:p w:rsidR="00334FE5" w:rsidRDefault="00334FE5" w:rsidP="00334FE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34FE5" w:rsidRDefault="00334FE5" w:rsidP="00334FE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334FE5" w:rsidRDefault="00334FE5" w:rsidP="00334FE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разработки и исследования оптических и оптико-электронных приборов и комплексов</w:t>
            </w:r>
          </w:p>
        </w:tc>
        <w:tc>
          <w:tcPr>
            <w:tcW w:w="1701" w:type="dxa"/>
          </w:tcPr>
          <w:p w:rsidR="00334FE5" w:rsidRDefault="00334FE5" w:rsidP="00334FE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334FE5" w:rsidRPr="00545A9D" w:rsidRDefault="00334FE5" w:rsidP="00334FE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4FE5" w:rsidRPr="00D04E6B" w:rsidRDefault="00334FE5" w:rsidP="00334FE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4FE5" w:rsidRPr="00D04E6B" w:rsidRDefault="00334FE5" w:rsidP="00334FE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4FE5" w:rsidRPr="00545A9D" w:rsidRDefault="00334FE5" w:rsidP="00334FE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4FE5" w:rsidRPr="00545A9D" w:rsidRDefault="00334FE5" w:rsidP="00334FE5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334FE5" w:rsidRDefault="00334FE5" w:rsidP="00334FE5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bookmarkEnd w:id="1"/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596A9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596A99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lastRenderedPageBreak/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054E41" w:rsidRDefault="00054E41" w:rsidP="00054E41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356AA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356AA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054E41" w:rsidRDefault="00054E41" w:rsidP="00054E41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054E41" w:rsidRDefault="00054E41" w:rsidP="00054E41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356AA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054E41" w:rsidRDefault="00054E41" w:rsidP="00054E41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054E41" w:rsidRDefault="00054E41" w:rsidP="00054E41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054E41" w:rsidRDefault="00054E41" w:rsidP="00054E41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054E41" w:rsidRDefault="00054E41" w:rsidP="00054E4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054E41" w:rsidRPr="00CF46DC" w:rsidRDefault="00054E41" w:rsidP="00054E41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54E41" w:rsidRDefault="00054E41" w:rsidP="00054E41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9" w:history="1">
        <w:r>
          <w:rPr>
            <w:rStyle w:val="a7"/>
            <w:color w:val="000000"/>
            <w:sz w:val="28"/>
            <w:szCs w:val="28"/>
            <w:lang w:val="en-US"/>
          </w:rPr>
          <w:t>http</w:t>
        </w:r>
        <w:r>
          <w:rPr>
            <w:rStyle w:val="a7"/>
            <w:color w:val="000000"/>
            <w:sz w:val="28"/>
            <w:szCs w:val="28"/>
          </w:rPr>
          <w:t>://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>
          <w:rPr>
            <w:rStyle w:val="a7"/>
            <w:color w:val="000000"/>
            <w:sz w:val="28"/>
            <w:szCs w:val="28"/>
          </w:rPr>
          <w:t>.</w:t>
        </w:r>
        <w:r>
          <w:rPr>
            <w:rStyle w:val="a7"/>
            <w:color w:val="000000"/>
            <w:sz w:val="28"/>
            <w:szCs w:val="28"/>
            <w:lang w:val="en-US"/>
          </w:rPr>
          <w:t>net</w:t>
        </w:r>
        <w:r>
          <w:rPr>
            <w:rStyle w:val="a7"/>
            <w:color w:val="000000"/>
            <w:sz w:val="28"/>
            <w:szCs w:val="28"/>
          </w:rPr>
          <w:t>.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 Мир психологии</w:t>
      </w:r>
    </w:p>
    <w:p w:rsidR="00054E41" w:rsidRDefault="00054E41" w:rsidP="00054E41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10" w:history="1">
        <w:r>
          <w:rPr>
            <w:rStyle w:val="a7"/>
            <w:color w:val="000000"/>
            <w:sz w:val="28"/>
            <w:szCs w:val="28"/>
            <w:lang w:val="en-US"/>
          </w:rPr>
          <w:t>http</w:t>
        </w:r>
        <w:r>
          <w:rPr>
            <w:rStyle w:val="a7"/>
            <w:color w:val="000000"/>
            <w:sz w:val="28"/>
            <w:szCs w:val="28"/>
          </w:rPr>
          <w:t>://</w:t>
        </w:r>
        <w:r>
          <w:rPr>
            <w:rStyle w:val="a7"/>
            <w:color w:val="000000"/>
            <w:sz w:val="28"/>
            <w:szCs w:val="28"/>
            <w:lang w:val="en-US"/>
          </w:rPr>
          <w:t>www</w:t>
        </w:r>
        <w:r>
          <w:rPr>
            <w:rStyle w:val="a7"/>
            <w:color w:val="000000"/>
            <w:sz w:val="28"/>
            <w:szCs w:val="28"/>
          </w:rPr>
          <w:t>.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>
          <w:rPr>
            <w:rStyle w:val="a7"/>
            <w:color w:val="000000"/>
            <w:sz w:val="28"/>
            <w:szCs w:val="28"/>
          </w:rPr>
          <w:t>.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054E41" w:rsidRDefault="00054E41" w:rsidP="00054E41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11" w:history="1">
        <w:r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054E41" w:rsidRDefault="00054E41" w:rsidP="00054E41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054E41" w:rsidRDefault="00054E41" w:rsidP="00054E41">
      <w:pPr>
        <w:widowControl/>
        <w:numPr>
          <w:ilvl w:val="0"/>
          <w:numId w:val="46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>
          <w:rPr>
            <w:rStyle w:val="a7"/>
            <w:sz w:val="28"/>
            <w:szCs w:val="28"/>
            <w:lang w:val="en-US"/>
          </w:rPr>
          <w:t>http</w:t>
        </w:r>
        <w:r>
          <w:rPr>
            <w:rStyle w:val="a7"/>
            <w:sz w:val="28"/>
            <w:szCs w:val="28"/>
          </w:rPr>
          <w:t>://</w:t>
        </w:r>
        <w:proofErr w:type="spellStart"/>
        <w:r>
          <w:rPr>
            <w:rStyle w:val="a7"/>
            <w:sz w:val="28"/>
            <w:szCs w:val="28"/>
            <w:lang w:val="en-US"/>
          </w:rPr>
          <w:t>iph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ras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ru</w:t>
        </w:r>
        <w:proofErr w:type="spellEnd"/>
        <w:r>
          <w:rPr>
            <w:rStyle w:val="a7"/>
            <w:sz w:val="28"/>
            <w:szCs w:val="28"/>
          </w:rPr>
          <w:t>/</w:t>
        </w:r>
        <w:proofErr w:type="spellStart"/>
        <w:r>
          <w:rPr>
            <w:rStyle w:val="a7"/>
            <w:sz w:val="28"/>
            <w:szCs w:val="28"/>
            <w:lang w:val="en-US"/>
          </w:rPr>
          <w:t>enc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054E41" w:rsidRPr="00054E41" w:rsidRDefault="00054E41" w:rsidP="00054E41">
      <w:pPr>
        <w:rPr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F9789E">
        <w:rPr>
          <w:sz w:val="28"/>
          <w:szCs w:val="28"/>
        </w:rPr>
        <w:t>12</w:t>
      </w:r>
      <w:r w:rsidR="00F9789E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="00F9789E" w:rsidRPr="000C0588">
        <w:rPr>
          <w:sz w:val="28"/>
          <w:szCs w:val="28"/>
        </w:rPr>
        <w:t>»</w:t>
      </w:r>
      <w:r w:rsidR="00F9789E" w:rsidRPr="00131E68">
        <w:rPr>
          <w:sz w:val="28"/>
          <w:szCs w:val="28"/>
        </w:rPr>
        <w:t xml:space="preserve">, </w:t>
      </w:r>
      <w:r w:rsidR="00054E41">
        <w:rPr>
          <w:sz w:val="28"/>
          <w:szCs w:val="28"/>
        </w:rPr>
        <w:t>научная специальность</w:t>
      </w:r>
      <w:r w:rsidR="00F9789E">
        <w:rPr>
          <w:sz w:val="28"/>
          <w:szCs w:val="28"/>
        </w:rPr>
        <w:t xml:space="preserve"> </w:t>
      </w:r>
      <w:r w:rsidR="00334FE5">
        <w:rPr>
          <w:sz w:val="28"/>
          <w:szCs w:val="28"/>
        </w:rPr>
        <w:t>2.2.6 «Оптические и оптоэлектронные приборы и комплексы»</w:t>
      </w:r>
      <w:r w:rsidR="002122F0">
        <w:rPr>
          <w:sz w:val="28"/>
          <w:szCs w:val="28"/>
        </w:rPr>
        <w:t>.</w:t>
      </w:r>
    </w:p>
    <w:sectPr w:rsidR="00FD21D4" w:rsidRPr="005560D3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476" w:rsidRDefault="00F54476" w:rsidP="00E76C7A">
      <w:r>
        <w:separator/>
      </w:r>
    </w:p>
  </w:endnote>
  <w:endnote w:type="continuationSeparator" w:id="0">
    <w:p w:rsidR="00F54476" w:rsidRDefault="00F54476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476" w:rsidRDefault="00F54476" w:rsidP="00E76C7A">
      <w:r>
        <w:separator/>
      </w:r>
    </w:p>
  </w:footnote>
  <w:footnote w:type="continuationSeparator" w:id="0">
    <w:p w:rsidR="00F54476" w:rsidRDefault="00F54476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3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5"/>
  </w:num>
  <w:num w:numId="24">
    <w:abstractNumId w:val="6"/>
  </w:num>
  <w:num w:numId="25">
    <w:abstractNumId w:val="34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6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3622"/>
    <w:rsid w:val="00054E41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33036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09BE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2F0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96A66"/>
    <w:rsid w:val="002A0511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34FE5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7624A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96A99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676C7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3C7C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127C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8769F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C73E6"/>
    <w:rsid w:val="007E1410"/>
    <w:rsid w:val="007E440E"/>
    <w:rsid w:val="007E50E1"/>
    <w:rsid w:val="007E60D3"/>
    <w:rsid w:val="007F05E7"/>
    <w:rsid w:val="007F0FBE"/>
    <w:rsid w:val="007F2102"/>
    <w:rsid w:val="007F3358"/>
    <w:rsid w:val="007F4C96"/>
    <w:rsid w:val="007F57BC"/>
    <w:rsid w:val="00801739"/>
    <w:rsid w:val="00801FFB"/>
    <w:rsid w:val="00802B95"/>
    <w:rsid w:val="00803897"/>
    <w:rsid w:val="0080454F"/>
    <w:rsid w:val="008050B5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B7004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363F"/>
    <w:rsid w:val="00AA4343"/>
    <w:rsid w:val="00AA576B"/>
    <w:rsid w:val="00AA7116"/>
    <w:rsid w:val="00AB0623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161C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4382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3C6D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01C9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2AB0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332A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4FAA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476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9789E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786EDE"/>
  <w15:docId w15:val="{7790E4AF-79D6-4337-859E-0692440D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054E4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13E07-A945-4668-9078-15E0D765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7985</Words>
  <Characters>45517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2018-03-21T08:57:00Z</cp:lastPrinted>
  <dcterms:created xsi:type="dcterms:W3CDTF">2021-12-18T15:04:00Z</dcterms:created>
  <dcterms:modified xsi:type="dcterms:W3CDTF">2021-12-18T15:04:00Z</dcterms:modified>
</cp:coreProperties>
</file>