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E3" w:rsidRDefault="00484AE3" w:rsidP="00484AE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236B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84AE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84AE3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484AE3" w:rsidRDefault="00236BDF" w:rsidP="00484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84A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2.2.3</w:t>
      </w:r>
      <w:r w:rsidR="00484AE3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Технология и оборудование для производства материалом и приборов электронной техники</w:t>
      </w:r>
      <w:r w:rsidR="00484AE3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06275">
        <w:rPr>
          <w:rFonts w:ascii="Times New Roman" w:hAnsi="Times New Roman"/>
          <w:szCs w:val="28"/>
        </w:rPr>
        <w:t xml:space="preserve">подготовки </w:t>
      </w:r>
      <w:r w:rsidR="00F06275">
        <w:rPr>
          <w:rFonts w:ascii="Times New Roman" w:hAnsi="Times New Roman"/>
          <w:szCs w:val="28"/>
        </w:rPr>
        <w:t xml:space="preserve">научных и </w:t>
      </w:r>
      <w:r w:rsidR="00EF540F" w:rsidRPr="00F06275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06275">
        <w:rPr>
          <w:sz w:val="28"/>
          <w:szCs w:val="28"/>
        </w:rPr>
        <w:t>аспирнатом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484AE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lastRenderedPageBreak/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6673A2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6673A2">
        <w:rPr>
          <w:sz w:val="28"/>
          <w:szCs w:val="28"/>
        </w:rPr>
        <w:t xml:space="preserve">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80" w:rsidRPr="008B2971" w:rsidRDefault="0003268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32680" w:rsidRPr="008B2971" w:rsidRDefault="0003268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80" w:rsidRPr="008B2971" w:rsidRDefault="0003268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32680" w:rsidRPr="008B2971" w:rsidRDefault="0003268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84AE3" w:rsidRDefault="007172E0" w:rsidP="00484AE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5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680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6BDF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D5BCA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AE3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3A2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5570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275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9FAC"/>
  <w15:docId w15:val="{61D2A7CB-D129-42A5-B1F8-BB75A8D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2EC2-0AF1-4E42-B14B-7C80997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2021-12-10T18:58:00Z</dcterms:created>
  <dcterms:modified xsi:type="dcterms:W3CDTF">2021-12-10T18:58:00Z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