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 w:rsidRPr="002C744D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E85ADA" w:rsidRPr="00D5361C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</w:t>
      </w:r>
      <w:r w:rsidR="00780F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«Технология электронного обучения»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665CB" w:rsidRP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методики исследований методов и технологий электронного обучения</w:t>
      </w:r>
    </w:p>
    <w:p w:rsid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технологии и инструменты создания электронных обучающих программ.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</w:t>
      </w:r>
      <w:r w:rsidR="00C665CB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«Распределенные ИС и ресурсы»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B64AA3">
        <w:rPr>
          <w:rFonts w:ascii="Times New Roman" w:hAnsi="Times New Roman" w:cs="Times New Roman"/>
          <w:sz w:val="24"/>
          <w:szCs w:val="24"/>
        </w:rPr>
        <w:t>: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концепцию </w:t>
      </w:r>
      <w:proofErr w:type="spellStart"/>
      <w:r w:rsidRPr="00F053CD">
        <w:rPr>
          <w:rFonts w:ascii="Times New Roman" w:hAnsi="Times New Roman"/>
          <w:sz w:val="24"/>
          <w:szCs w:val="24"/>
        </w:rPr>
        <w:t>сервисно</w:t>
      </w:r>
      <w:proofErr w:type="spellEnd"/>
      <w:r w:rsidRPr="00F053CD">
        <w:rPr>
          <w:rFonts w:ascii="Times New Roman" w:hAnsi="Times New Roman"/>
          <w:sz w:val="24"/>
          <w:szCs w:val="24"/>
        </w:rPr>
        <w:t>-ориентированной архитектуры и методы построения клиент серверной ИС с распределенными базами данных;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методологию теоретических и экспериментальных исследований в области архитектур распределенных информационных систем.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относится </w:t>
      </w:r>
      <w:r w:rsidR="00F053CD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b/>
          <w:i/>
          <w:sz w:val="24"/>
          <w:szCs w:val="24"/>
        </w:rPr>
        <w:t>систем</w:t>
      </w:r>
      <w:r>
        <w:rPr>
          <w:rFonts w:ascii="Times New Roman" w:hAnsi="Times New Roman"/>
          <w:b/>
          <w:i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</w:t>
      </w:r>
      <w:r w:rsidRPr="00B64AA3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>
        <w:rPr>
          <w:rFonts w:ascii="Times New Roman" w:hAnsi="Times New Roman"/>
          <w:sz w:val="24"/>
          <w:szCs w:val="24"/>
        </w:rPr>
        <w:t>математического и программного обеспечения вычислительных машин,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450E9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26F77"/>
    <w:rsid w:val="00232AB0"/>
    <w:rsid w:val="002B1494"/>
    <w:rsid w:val="002B1C6B"/>
    <w:rsid w:val="002C744D"/>
    <w:rsid w:val="00344A92"/>
    <w:rsid w:val="003E4F22"/>
    <w:rsid w:val="003F575E"/>
    <w:rsid w:val="00463563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8665EB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202D6"/>
    <w:rsid w:val="00E375D2"/>
    <w:rsid w:val="00E85ADA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F2A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2021-12-19T19:47:00Z</dcterms:created>
  <dcterms:modified xsi:type="dcterms:W3CDTF">2021-12-19T19:47:00Z</dcterms:modified>
</cp:coreProperties>
</file>