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нормы научного общения и основы профессионального этоса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т.ч.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 xml:space="preserve">научной специальности 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«Информатика и вычислительная техника» (уровень подготовки кадров высшей квалификации) с учетом специфики научной специальности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научной специальности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«Интегрированные системы проектирование и управления автоматизированных и автоматических производств»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7493" w:rsidRDefault="00697493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7493" w:rsidRDefault="00697493" w:rsidP="006974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при проектировании автоматизированных систем»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276E9D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276E9D">
        <w:rPr>
          <w:rFonts w:ascii="Times New Roman" w:hAnsi="Times New Roman" w:cs="Times New Roman"/>
          <w:sz w:val="24"/>
          <w:szCs w:val="24"/>
        </w:rPr>
        <w:t>: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6E9D" w:rsidRDefault="00276E9D" w:rsidP="00276E9D"/>
    <w:p w:rsidR="00276E9D" w:rsidRDefault="00276E9D" w:rsidP="00276E9D"/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«Автоматизация и управление технологическими процессами и производствами»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276E9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95461" w:rsidRDefault="00995461" w:rsidP="009954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995461" w:rsidRDefault="00995461" w:rsidP="00276E9D">
      <w:pPr>
        <w:spacing w:after="0" w:line="240" w:lineRule="auto"/>
        <w:contextualSpacing/>
        <w:jc w:val="both"/>
        <w:rPr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995461" w:rsidRDefault="00995461" w:rsidP="00995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</w:t>
      </w:r>
      <w:r w:rsidR="00995461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995461">
        <w:rPr>
          <w:rFonts w:ascii="Times New Roman" w:hAnsi="Times New Roman" w:cs="Times New Roman"/>
          <w:b/>
          <w:sz w:val="24"/>
          <w:szCs w:val="24"/>
        </w:rPr>
        <w:t xml:space="preserve">оемкость дисциплины составляет 2 зачетные единицы (72 </w:t>
      </w:r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rPr>
          <w:rFonts w:ascii="Times New Roman" w:hAnsi="Times New Roman" w:cs="Times New Roman"/>
          <w:sz w:val="24"/>
          <w:szCs w:val="24"/>
        </w:rPr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14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76E9D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32D34"/>
    <w:rsid w:val="00566B98"/>
    <w:rsid w:val="005A65C2"/>
    <w:rsid w:val="00645566"/>
    <w:rsid w:val="00697493"/>
    <w:rsid w:val="0076530B"/>
    <w:rsid w:val="007B1838"/>
    <w:rsid w:val="00805DCD"/>
    <w:rsid w:val="0080782C"/>
    <w:rsid w:val="008561F1"/>
    <w:rsid w:val="009100CE"/>
    <w:rsid w:val="00995461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C94B3F"/>
    <w:rsid w:val="00D75FF9"/>
    <w:rsid w:val="00E202D6"/>
    <w:rsid w:val="00E375D2"/>
    <w:rsid w:val="00EF0CC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2021-12-19T13:42:00Z</dcterms:created>
  <dcterms:modified xsi:type="dcterms:W3CDTF">2021-12-19T13:42:00Z</dcterms:modified>
</cp:coreProperties>
</file>