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43238E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43238E">
              <w:t>__</w:t>
            </w:r>
            <w:r w:rsidRPr="005560D3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43238E" w:rsidP="00734DA7">
      <w:pPr>
        <w:widowControl/>
        <w:ind w:firstLine="0"/>
        <w:jc w:val="center"/>
      </w:pPr>
      <w:r>
        <w:t>Научная специальность</w:t>
      </w:r>
    </w:p>
    <w:p w:rsidR="00866C44" w:rsidRDefault="0043238E" w:rsidP="00866C44">
      <w:pPr>
        <w:pStyle w:val="af1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/>
          <w:b/>
          <w:sz w:val="24"/>
          <w:szCs w:val="24"/>
          <w:lang w:eastAsia="x-none"/>
        </w:rPr>
        <w:t>2.3.2 «Вычислительные системы и их элементы»</w:t>
      </w:r>
    </w:p>
    <w:p w:rsidR="00C5571B" w:rsidRPr="00BD501B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BD501B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B92626" w:rsidP="00734DA7">
      <w:pPr>
        <w:widowControl/>
        <w:ind w:firstLine="0"/>
        <w:jc w:val="center"/>
      </w:pPr>
      <w:r>
        <w:t>Москва 202</w:t>
      </w:r>
      <w:r w:rsidR="0043238E">
        <w:t>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</w:t>
      </w:r>
      <w:bookmarkStart w:id="0" w:name="_GoBack"/>
      <w:bookmarkEnd w:id="0"/>
      <w:r w:rsidRPr="000C0588">
        <w:rPr>
          <w:sz w:val="28"/>
          <w:szCs w:val="28"/>
        </w:rPr>
        <w:t xml:space="preserve">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43238E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43238E">
        <w:rPr>
          <w:rFonts w:eastAsia="Calibri"/>
          <w:sz w:val="28"/>
          <w:szCs w:val="28"/>
          <w:lang w:eastAsia="x-none"/>
        </w:rPr>
        <w:t>2.3.2 «Вычислительные системы и их элементы»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43238E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43238E">
        <w:rPr>
          <w:rFonts w:eastAsia="Calibri"/>
          <w:sz w:val="28"/>
          <w:szCs w:val="28"/>
          <w:lang w:eastAsia="x-none"/>
        </w:rPr>
        <w:t>2.3.2 «Вычислительные системы и их элементы»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 xml:space="preserve">способность следовать </w:t>
            </w:r>
            <w:r w:rsidRPr="00D509C4">
              <w:rPr>
                <w:rStyle w:val="FontStyle28"/>
              </w:rPr>
              <w:lastRenderedPageBreak/>
              <w:t>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1E7CC3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 xml:space="preserve">создавать в исследовательском коллективе условия </w:t>
            </w:r>
            <w:r>
              <w:lastRenderedPageBreak/>
              <w:t>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66C44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66C44" w:rsidRDefault="00866C44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(умение использовать теорию и методы описания структур средств вычислительной техники и систем управления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информации)</w:t>
            </w:r>
          </w:p>
        </w:tc>
        <w:tc>
          <w:tcPr>
            <w:tcW w:w="3228" w:type="pct"/>
            <w:shd w:val="clear" w:color="auto" w:fill="auto"/>
          </w:tcPr>
          <w:p w:rsidR="00866C44" w:rsidRDefault="00866C44" w:rsidP="00866C44">
            <w:pPr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</w:p>
        </w:tc>
      </w:tr>
      <w:tr w:rsidR="00866C44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66C44" w:rsidRPr="00964117" w:rsidRDefault="00866C44" w:rsidP="00866C44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866C44" w:rsidRPr="00383F85" w:rsidRDefault="00866C44" w:rsidP="00866C44">
            <w:pPr>
              <w:ind w:firstLine="33"/>
              <w:rPr>
                <w:bCs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</w:tr>
      <w:tr w:rsidR="00866C44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66C44" w:rsidRPr="00964117" w:rsidRDefault="00866C44" w:rsidP="00866C44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866C44" w:rsidRPr="0035090D" w:rsidRDefault="00866C44" w:rsidP="00866C44">
            <w:pPr>
              <w:ind w:firstLine="0"/>
              <w:rPr>
                <w:b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</w:t>
            </w:r>
          </w:p>
        </w:tc>
      </w:tr>
    </w:tbl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3238E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3238E">
        <w:rPr>
          <w:sz w:val="28"/>
          <w:szCs w:val="28"/>
        </w:rPr>
        <w:t>2.3.2 «Вычислительные системы и их элементы»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3238E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3238E">
        <w:rPr>
          <w:sz w:val="28"/>
          <w:szCs w:val="28"/>
        </w:rPr>
        <w:t>2.3.2 «Вычислительные системы и их элементы»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43238E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1E7CC3">
              <w:t>области элементов и устройств вычислительной техники и систем управления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66C44" w:rsidRPr="00B06A52" w:rsidTr="0084371B">
        <w:trPr>
          <w:trHeight w:val="240"/>
        </w:trPr>
        <w:tc>
          <w:tcPr>
            <w:tcW w:w="1668" w:type="dxa"/>
          </w:tcPr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6C44" w:rsidRDefault="00866C44" w:rsidP="00866C44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исполнительных устройств, средств отображения информации, источников питания</w:t>
            </w:r>
          </w:p>
        </w:tc>
        <w:tc>
          <w:tcPr>
            <w:tcW w:w="1701" w:type="dxa"/>
          </w:tcPr>
          <w:p w:rsidR="00866C44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66C44" w:rsidRDefault="00866C44" w:rsidP="00866C4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66C44" w:rsidRDefault="00866C44" w:rsidP="00866C44">
            <w:pPr>
              <w:contextualSpacing/>
              <w:rPr>
                <w:kern w:val="24"/>
              </w:rPr>
            </w:pPr>
          </w:p>
        </w:tc>
      </w:tr>
      <w:tr w:rsidR="00866C44" w:rsidRPr="00B06A52" w:rsidTr="0084371B">
        <w:trPr>
          <w:trHeight w:val="240"/>
        </w:trPr>
        <w:tc>
          <w:tcPr>
            <w:tcW w:w="1668" w:type="dxa"/>
          </w:tcPr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6C44" w:rsidRDefault="00866C44" w:rsidP="00866C44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  <w:tc>
          <w:tcPr>
            <w:tcW w:w="1701" w:type="dxa"/>
          </w:tcPr>
          <w:p w:rsidR="00866C44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66C44" w:rsidRDefault="00866C44" w:rsidP="00866C4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66C44" w:rsidRPr="00B06A52" w:rsidTr="00B92626">
        <w:trPr>
          <w:trHeight w:val="240"/>
        </w:trPr>
        <w:tc>
          <w:tcPr>
            <w:tcW w:w="1668" w:type="dxa"/>
          </w:tcPr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66C44" w:rsidRDefault="00866C44" w:rsidP="00866C4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6C44" w:rsidRDefault="00866C44" w:rsidP="00866C44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</w:t>
            </w:r>
          </w:p>
        </w:tc>
        <w:tc>
          <w:tcPr>
            <w:tcW w:w="1701" w:type="dxa"/>
          </w:tcPr>
          <w:p w:rsidR="00866C44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6C44" w:rsidRPr="00D04E6B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66C44" w:rsidRPr="00545A9D" w:rsidRDefault="00866C44" w:rsidP="00866C4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66C44" w:rsidRDefault="00866C44" w:rsidP="00866C4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238E" w:rsidRDefault="0043238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43238E" w:rsidRDefault="0043238E" w:rsidP="0043238E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43238E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43238E">
      <w:pPr>
        <w:ind w:firstLine="709"/>
        <w:rPr>
          <w:sz w:val="28"/>
          <w:szCs w:val="28"/>
        </w:rPr>
      </w:pPr>
    </w:p>
    <w:p w:rsidR="00D24362" w:rsidRPr="00831BED" w:rsidRDefault="00450252" w:rsidP="0043238E">
      <w:pPr>
        <w:pStyle w:val="af5"/>
        <w:numPr>
          <w:ilvl w:val="0"/>
          <w:numId w:val="39"/>
        </w:numPr>
        <w:ind w:hanging="11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43238E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43238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911346" w:rsidRDefault="00911346" w:rsidP="0043238E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43238E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43238E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43238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911346" w:rsidRDefault="00911346" w:rsidP="0043238E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43238E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911346" w:rsidRDefault="00911346" w:rsidP="0043238E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275CAB" w:rsidRDefault="00271B8B" w:rsidP="00275CAB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275CAB">
          <w:rPr>
            <w:rStyle w:val="a7"/>
            <w:color w:val="000000"/>
            <w:sz w:val="28"/>
            <w:szCs w:val="28"/>
            <w:lang w:val="en-US"/>
          </w:rPr>
          <w:t>http</w:t>
        </w:r>
        <w:r w:rsidR="00275CAB">
          <w:rPr>
            <w:rStyle w:val="a7"/>
            <w:color w:val="000000"/>
            <w:sz w:val="28"/>
            <w:szCs w:val="28"/>
          </w:rPr>
          <w:t>://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275CAB">
          <w:rPr>
            <w:rStyle w:val="a7"/>
            <w:color w:val="000000"/>
            <w:sz w:val="28"/>
            <w:szCs w:val="28"/>
          </w:rPr>
          <w:t>.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net</w:t>
        </w:r>
        <w:r w:rsidR="00275CAB">
          <w:rPr>
            <w:rStyle w:val="a7"/>
            <w:color w:val="000000"/>
            <w:sz w:val="28"/>
            <w:szCs w:val="28"/>
          </w:rPr>
          <w:t>.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275CAB">
        <w:rPr>
          <w:color w:val="000000"/>
          <w:sz w:val="28"/>
          <w:szCs w:val="28"/>
        </w:rPr>
        <w:t xml:space="preserve">  Мир психологии</w:t>
      </w:r>
    </w:p>
    <w:p w:rsidR="00275CAB" w:rsidRDefault="00271B8B" w:rsidP="00275CAB">
      <w:pPr>
        <w:pStyle w:val="af5"/>
        <w:numPr>
          <w:ilvl w:val="0"/>
          <w:numId w:val="49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275CAB">
          <w:rPr>
            <w:rStyle w:val="a7"/>
            <w:color w:val="000000"/>
            <w:sz w:val="28"/>
            <w:szCs w:val="28"/>
            <w:lang w:val="en-US"/>
          </w:rPr>
          <w:t>http</w:t>
        </w:r>
        <w:r w:rsidR="00275CAB">
          <w:rPr>
            <w:rStyle w:val="a7"/>
            <w:color w:val="000000"/>
            <w:sz w:val="28"/>
            <w:szCs w:val="28"/>
          </w:rPr>
          <w:t>://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www</w:t>
        </w:r>
        <w:r w:rsidR="00275CAB">
          <w:rPr>
            <w:rStyle w:val="a7"/>
            <w:color w:val="000000"/>
            <w:sz w:val="28"/>
            <w:szCs w:val="28"/>
          </w:rPr>
          <w:t>.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275CAB">
          <w:rPr>
            <w:rStyle w:val="a7"/>
            <w:color w:val="000000"/>
            <w:sz w:val="28"/>
            <w:szCs w:val="28"/>
          </w:rPr>
          <w:t>.</w:t>
        </w:r>
        <w:r w:rsidR="00275CAB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275CAB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275CAB" w:rsidRDefault="00271B8B" w:rsidP="00275CAB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hyperlink r:id="rId13" w:history="1">
        <w:r w:rsidR="00275CAB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275CAB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275CAB" w:rsidRDefault="00275CAB" w:rsidP="00275CAB">
      <w:pPr>
        <w:pStyle w:val="af5"/>
        <w:numPr>
          <w:ilvl w:val="0"/>
          <w:numId w:val="4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275CAB" w:rsidRDefault="00271B8B" w:rsidP="00275CAB">
      <w:pPr>
        <w:widowControl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275CAB">
          <w:rPr>
            <w:rStyle w:val="a7"/>
            <w:sz w:val="28"/>
            <w:szCs w:val="28"/>
            <w:lang w:val="en-US"/>
          </w:rPr>
          <w:t>http</w:t>
        </w:r>
        <w:r w:rsidR="00275CAB">
          <w:rPr>
            <w:rStyle w:val="a7"/>
            <w:sz w:val="28"/>
            <w:szCs w:val="28"/>
          </w:rPr>
          <w:t>://</w:t>
        </w:r>
        <w:r w:rsidR="00275CAB">
          <w:rPr>
            <w:rStyle w:val="a7"/>
            <w:sz w:val="28"/>
            <w:szCs w:val="28"/>
            <w:lang w:val="en-US"/>
          </w:rPr>
          <w:t>iph</w:t>
        </w:r>
        <w:r w:rsidR="00275CAB">
          <w:rPr>
            <w:rStyle w:val="a7"/>
            <w:sz w:val="28"/>
            <w:szCs w:val="28"/>
          </w:rPr>
          <w:t>.</w:t>
        </w:r>
        <w:r w:rsidR="00275CAB">
          <w:rPr>
            <w:rStyle w:val="a7"/>
            <w:sz w:val="28"/>
            <w:szCs w:val="28"/>
            <w:lang w:val="en-US"/>
          </w:rPr>
          <w:t>ras</w:t>
        </w:r>
        <w:r w:rsidR="00275CAB">
          <w:rPr>
            <w:rStyle w:val="a7"/>
            <w:sz w:val="28"/>
            <w:szCs w:val="28"/>
          </w:rPr>
          <w:t>.</w:t>
        </w:r>
        <w:r w:rsidR="00275CAB">
          <w:rPr>
            <w:rStyle w:val="a7"/>
            <w:sz w:val="28"/>
            <w:szCs w:val="28"/>
            <w:lang w:val="en-US"/>
          </w:rPr>
          <w:t>ru</w:t>
        </w:r>
        <w:r w:rsidR="00275CAB">
          <w:rPr>
            <w:rStyle w:val="a7"/>
            <w:sz w:val="28"/>
            <w:szCs w:val="28"/>
          </w:rPr>
          <w:t>/</w:t>
        </w:r>
        <w:r w:rsidR="00275CAB">
          <w:rPr>
            <w:rStyle w:val="a7"/>
            <w:sz w:val="28"/>
            <w:szCs w:val="28"/>
            <w:lang w:val="en-US"/>
          </w:rPr>
          <w:t>enc</w:t>
        </w:r>
        <w:r w:rsidR="00275CAB">
          <w:rPr>
            <w:rStyle w:val="a7"/>
            <w:sz w:val="28"/>
            <w:szCs w:val="28"/>
          </w:rPr>
          <w:t>.</w:t>
        </w:r>
        <w:r w:rsidR="00275CAB">
          <w:rPr>
            <w:rStyle w:val="a7"/>
            <w:sz w:val="28"/>
            <w:szCs w:val="28"/>
            <w:lang w:val="en-US"/>
          </w:rPr>
          <w:t>htm</w:t>
        </w:r>
      </w:hyperlink>
      <w:r w:rsidR="00275CA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275CAB" w:rsidRDefault="00271B8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275CAB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275CAB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275CAB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275CAB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275CAB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75CA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275CA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275CAB" w:rsidRDefault="00271B8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275CA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275CAB">
        <w:rPr>
          <w:rFonts w:eastAsia="Calibri"/>
          <w:b/>
          <w:sz w:val="28"/>
          <w:szCs w:val="28"/>
          <w:lang w:eastAsia="en-US"/>
        </w:rPr>
        <w:t xml:space="preserve"> </w:t>
      </w:r>
      <w:r w:rsidR="00275CA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275CAB" w:rsidRDefault="00275CA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275CAB" w:rsidRDefault="00275CA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75CAB" w:rsidRDefault="00275CA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75CAB" w:rsidRDefault="00275CAB" w:rsidP="00275CAB">
      <w:pPr>
        <w:widowControl/>
        <w:numPr>
          <w:ilvl w:val="0"/>
          <w:numId w:val="4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Pr="00BC3C51" w:rsidRDefault="00911346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43238E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43238E">
        <w:rPr>
          <w:sz w:val="28"/>
          <w:szCs w:val="28"/>
        </w:rPr>
        <w:t>2.3.2 «Вычислительные системы и их элементы»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24" w:rsidRDefault="00020824" w:rsidP="00E76C7A">
      <w:r>
        <w:separator/>
      </w:r>
    </w:p>
  </w:endnote>
  <w:endnote w:type="continuationSeparator" w:id="0">
    <w:p w:rsidR="00020824" w:rsidRDefault="0002082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24" w:rsidRDefault="00020824" w:rsidP="00E76C7A">
      <w:r>
        <w:separator/>
      </w:r>
    </w:p>
  </w:footnote>
  <w:footnote w:type="continuationSeparator" w:id="0">
    <w:p w:rsidR="00020824" w:rsidRDefault="0002082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26" w:rsidRPr="00675078" w:rsidRDefault="00B92626" w:rsidP="00B9262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0824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E7CC3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1B8B"/>
    <w:rsid w:val="00272378"/>
    <w:rsid w:val="00275CAB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238E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5C32E-7221-405F-B821-D0E97E28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8416</Words>
  <Characters>47976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3</cp:revision>
  <cp:lastPrinted>2018-03-20T12:07:00Z</cp:lastPrinted>
  <dcterms:created xsi:type="dcterms:W3CDTF">2021-12-14T12:38:00Z</dcterms:created>
  <dcterms:modified xsi:type="dcterms:W3CDTF">2021-12-14T12:40:00Z</dcterms:modified>
</cp:coreProperties>
</file>