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84723" w:rsidRPr="000A1513">
        <w:trPr>
          <w:cantSplit/>
          <w:trHeight w:val="180"/>
        </w:trPr>
        <w:tc>
          <w:tcPr>
            <w:tcW w:w="5000" w:type="pct"/>
          </w:tcPr>
          <w:p w:rsidR="00084723" w:rsidRDefault="00BF39E5" w:rsidP="00084723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pict w14:anchorId="2D4DB5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pt;height:79.45pt;visibility:visible">
                  <v:imagedata r:id="rId8" o:title=""/>
                </v:shape>
              </w:pict>
            </w:r>
          </w:p>
        </w:tc>
      </w:tr>
      <w:tr w:rsidR="0008472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84723" w:rsidRDefault="00084723" w:rsidP="0008472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84723" w:rsidRDefault="00084723" w:rsidP="0008472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84723" w:rsidRDefault="00084723" w:rsidP="0008472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8472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84723" w:rsidRDefault="00084723" w:rsidP="0008472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84723" w:rsidRDefault="00084723" w:rsidP="0008472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84723" w:rsidRDefault="00084723" w:rsidP="0008472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84723" w:rsidRDefault="00084723" w:rsidP="0008472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84723" w:rsidRDefault="00265C9E" w:rsidP="0008472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4F98947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84723" w:rsidRPr="000A1513" w:rsidTr="00084723">
        <w:tc>
          <w:tcPr>
            <w:tcW w:w="2500" w:type="pct"/>
          </w:tcPr>
          <w:p w:rsidR="00084723" w:rsidRPr="009574B9" w:rsidRDefault="0008472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C91DE3">
              <w:t xml:space="preserve"> Н.И. Прокопов</w:t>
            </w:r>
          </w:p>
          <w:p w:rsidR="00084723" w:rsidRPr="009574B9" w:rsidRDefault="00C91DE3" w:rsidP="0024696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084723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084723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5B2658" w:rsidP="00414BE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06.06.01 «Биологические науки»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C91DE3" w:rsidP="00414BE4">
      <w:pPr>
        <w:widowControl/>
        <w:ind w:firstLine="0"/>
        <w:jc w:val="center"/>
      </w:pPr>
      <w:r>
        <w:t>Научная специальность</w:t>
      </w:r>
    </w:p>
    <w:p w:rsidR="00414BE4" w:rsidRDefault="00C91DE3" w:rsidP="00414BE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1.5.6 «Биотехнология»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414BE4" w:rsidRDefault="00C91DE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91DE3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81A5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81A5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81A5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81A59">
      <w:pPr>
        <w:ind w:firstLine="709"/>
        <w:rPr>
          <w:sz w:val="28"/>
          <w:szCs w:val="28"/>
        </w:rPr>
      </w:pPr>
    </w:p>
    <w:p w:rsidR="00566281" w:rsidRDefault="00410FDC" w:rsidP="00C91DE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81A5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81A5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084723" w:rsidRPr="003B3C9B" w:rsidRDefault="00084723" w:rsidP="0008472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3B3C9B">
        <w:rPr>
          <w:b/>
          <w:spacing w:val="-2"/>
          <w:sz w:val="28"/>
          <w:szCs w:val="28"/>
        </w:rPr>
        <w:t xml:space="preserve">УК-3 </w:t>
      </w:r>
      <w:r w:rsidRPr="003B3C9B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B3C9B">
        <w:rPr>
          <w:sz w:val="28"/>
          <w:szCs w:val="28"/>
        </w:rPr>
        <w:t>)</w:t>
      </w:r>
      <w:r w:rsidRPr="003B3C9B">
        <w:rPr>
          <w:spacing w:val="-2"/>
          <w:sz w:val="28"/>
          <w:szCs w:val="28"/>
        </w:rPr>
        <w:t>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color w:val="000000"/>
          <w:sz w:val="28"/>
          <w:szCs w:val="28"/>
        </w:rPr>
        <w:t>-</w:t>
      </w:r>
      <w:r w:rsidRPr="003B3C9B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УК-4</w:t>
      </w:r>
      <w:r w:rsidRPr="003B3C9B"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иностранный язык (2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ОПК-1</w:t>
      </w:r>
      <w:r w:rsidRPr="003B3C9B"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иностранный язык (2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ПК-1</w:t>
      </w:r>
      <w:r w:rsidRPr="003B3C9B"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</w:t>
      </w:r>
      <w:r w:rsidRPr="003B3C9B">
        <w:rPr>
          <w:spacing w:val="-4"/>
          <w:sz w:val="28"/>
          <w:szCs w:val="28"/>
        </w:rPr>
        <w:t>):</w:t>
      </w:r>
    </w:p>
    <w:p w:rsidR="00084723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организация научных исследований (1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3B3C9B">
        <w:rPr>
          <w:spacing w:val="-4"/>
          <w:sz w:val="28"/>
          <w:szCs w:val="28"/>
        </w:rPr>
        <w:t>иностранный язык (2 семестр).</w:t>
      </w:r>
    </w:p>
    <w:p w:rsidR="009574B9" w:rsidRDefault="009574B9" w:rsidP="00081A5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91DE3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081A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81A5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81A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81A59">
      <w:pPr>
        <w:ind w:firstLine="709"/>
        <w:rPr>
          <w:sz w:val="28"/>
          <w:szCs w:val="28"/>
        </w:rPr>
      </w:pPr>
    </w:p>
    <w:p w:rsidR="00D017B4" w:rsidRPr="008B1EAD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81A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81A5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91DE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414BE4">
        <w:trPr>
          <w:trHeight w:val="34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 w:rsidR="005B2658"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084723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84723" w:rsidRDefault="00084723" w:rsidP="00084723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084723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84723" w:rsidRDefault="00084723" w:rsidP="0008472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084723" w:rsidRDefault="00084723" w:rsidP="00084723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084723" w:rsidRPr="0068234C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084723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84723" w:rsidRDefault="00084723" w:rsidP="0008472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084723" w:rsidRDefault="00084723" w:rsidP="00084723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084723" w:rsidRPr="0068234C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 w:rsidR="005B2658"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5B2658" w:rsidRDefault="001C5E26" w:rsidP="005B2658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 xml:space="preserve">современные экспериментальные и теоретические методы исследования в области </w:t>
            </w:r>
            <w:r w:rsidR="005B2658">
              <w:t>биотехнологии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  <w:r w:rsidR="005B2658">
              <w:t xml:space="preserve"> в области биотехнологии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414BE4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 w:rsidR="005B2658"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414BE4">
        <w:trPr>
          <w:trHeight w:val="54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414BE4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 w:rsidR="005B2658">
              <w:rPr>
                <w:rFonts w:hint="eastAsia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414BE4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414BE4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84723" w:rsidRPr="00625822" w:rsidRDefault="00084723" w:rsidP="00084723">
            <w:pPr>
              <w:ind w:firstLine="0"/>
              <w:contextualSpacing/>
            </w:pPr>
            <w:r w:rsidRPr="00625822">
              <w:rPr>
                <w:b/>
              </w:rPr>
              <w:t>ПК-1</w:t>
            </w:r>
            <w:r w:rsidRPr="00625822">
              <w:t xml:space="preserve"> (г</w:t>
            </w:r>
            <w:r w:rsidRPr="00625822">
              <w:rPr>
                <w:color w:val="000000"/>
                <w:shd w:val="clear" w:color="auto" w:fill="FFFFFF"/>
              </w:rPr>
              <w:t>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ind w:firstLine="0"/>
              <w:contextualSpacing/>
            </w:pPr>
            <w:r w:rsidRPr="00657EFA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657EFA">
              <w:t xml:space="preserve"> </w:t>
            </w:r>
          </w:p>
          <w:p w:rsidR="00084723" w:rsidRDefault="00084723" w:rsidP="00084723">
            <w:pPr>
              <w:ind w:firstLine="0"/>
              <w:contextualSpacing/>
              <w:rPr>
                <w:rFonts w:eastAsia="SimSun"/>
              </w:rPr>
            </w:pPr>
            <w:r>
              <w:rPr>
                <w:rFonts w:eastAsia="SimSun"/>
              </w:rPr>
              <w:t xml:space="preserve">- </w:t>
            </w:r>
            <w:r w:rsidRPr="00A02C41">
              <w:rPr>
                <w:rFonts w:eastAsia="SimSun"/>
              </w:rPr>
              <w:t>основны</w:t>
            </w:r>
            <w:r>
              <w:rPr>
                <w:rFonts w:eastAsia="SimSun"/>
              </w:rPr>
              <w:t>е</w:t>
            </w:r>
            <w:r w:rsidRPr="00A02C41">
              <w:rPr>
                <w:rFonts w:eastAsia="SimSun"/>
              </w:rPr>
              <w:t xml:space="preserve"> тип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наноплатформ (полимерные наночастицы, наночастицы на основе липидов, дендримеры и т.д.), используемых в медицинских целях, их свойств</w:t>
            </w:r>
            <w:r>
              <w:rPr>
                <w:rFonts w:eastAsia="SimSun"/>
              </w:rPr>
              <w:t>а</w:t>
            </w:r>
            <w:r w:rsidRPr="00A02C41">
              <w:rPr>
                <w:rFonts w:eastAsia="SimSun"/>
              </w:rPr>
              <w:t>, метод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получения, област</w:t>
            </w:r>
            <w:r>
              <w:rPr>
                <w:rFonts w:eastAsia="SimSun"/>
              </w:rPr>
              <w:t>и</w:t>
            </w:r>
            <w:r w:rsidRPr="00A02C41">
              <w:rPr>
                <w:rFonts w:eastAsia="SimSun"/>
              </w:rPr>
              <w:t xml:space="preserve"> применения</w:t>
            </w:r>
            <w:r w:rsidRPr="00856097">
              <w:t>.</w:t>
            </w:r>
          </w:p>
          <w:p w:rsidR="00084723" w:rsidRPr="00856097" w:rsidRDefault="00084723" w:rsidP="00084723">
            <w:pPr>
              <w:adjustRightInd w:val="0"/>
              <w:ind w:firstLine="0"/>
            </w:pPr>
            <w:r w:rsidRPr="00856097">
              <w:t>- современные биотехнологические методы получения лекарственных средств: генетическая инженерия, белковая инженерия, инженерная энзимоло</w:t>
            </w:r>
            <w:r>
              <w:t>гия</w:t>
            </w:r>
            <w:r w:rsidRPr="00856097">
              <w:t>.</w:t>
            </w:r>
          </w:p>
          <w:p w:rsidR="00084723" w:rsidRPr="00D8117F" w:rsidRDefault="00084723" w:rsidP="00084723">
            <w:pPr>
              <w:adjustRightInd w:val="0"/>
              <w:ind w:firstLine="0"/>
              <w:rPr>
                <w:b/>
              </w:rPr>
            </w:pPr>
            <w:r w:rsidRPr="006C6ABD">
              <w:t xml:space="preserve">- </w:t>
            </w:r>
            <w:r w:rsidRPr="006C6ABD">
              <w:rPr>
                <w:rFonts w:eastAsia="SimSun"/>
              </w:rPr>
              <w:t xml:space="preserve">современные подходы </w:t>
            </w:r>
            <w:r>
              <w:rPr>
                <w:rFonts w:eastAsia="SimSun"/>
              </w:rPr>
              <w:t xml:space="preserve">биотехнологии и </w:t>
            </w:r>
            <w:r w:rsidRPr="006C6ABD">
              <w:rPr>
                <w:rFonts w:eastAsia="SimSun"/>
              </w:rPr>
              <w:t>бионанотехнологи</w:t>
            </w:r>
            <w:r>
              <w:rPr>
                <w:rFonts w:eastAsia="SimSun"/>
              </w:rPr>
              <w:t>и</w:t>
            </w:r>
            <w:r w:rsidRPr="006C6ABD">
              <w:rPr>
                <w:rFonts w:eastAsia="SimSun"/>
              </w:rPr>
              <w:t xml:space="preserve"> к конструированию средств доставки активных</w:t>
            </w:r>
            <w:r w:rsidRPr="006C6ABD">
              <w:rPr>
                <w:rFonts w:eastAsia="SimSun"/>
                <w:i/>
              </w:rPr>
              <w:t xml:space="preserve"> </w:t>
            </w:r>
            <w:r w:rsidRPr="006C6ABD">
              <w:rPr>
                <w:rFonts w:eastAsia="SimSun"/>
              </w:rPr>
              <w:t>фармацевтических субстанций</w:t>
            </w:r>
            <w:r w:rsidRPr="00856097">
              <w:t>.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084723" w:rsidRPr="0068234C" w:rsidRDefault="00084723" w:rsidP="0008472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ind w:firstLine="0"/>
              <w:contextualSpacing/>
            </w:pPr>
            <w:r w:rsidRPr="00657EFA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</w:p>
          <w:p w:rsidR="00084723" w:rsidRDefault="00084723" w:rsidP="00084723">
            <w:pPr>
              <w:ind w:firstLine="0"/>
            </w:pPr>
            <w:r>
              <w:t xml:space="preserve">- </w:t>
            </w:r>
            <w:r w:rsidRPr="00856097">
              <w:t>осуществлять постадийный контроль и стандартизацию получаемых препаратов (например, определение активности антибиотиков, ферментативной активности, жизнеспособности клеток).</w:t>
            </w:r>
          </w:p>
          <w:p w:rsidR="00084723" w:rsidRPr="00721587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 w:rsidRPr="00A76C51">
              <w:t>- разрабатывать готовые формы лекарственных препаратов</w:t>
            </w:r>
            <w:r>
              <w:t>.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084723" w:rsidRPr="0068234C" w:rsidRDefault="00084723" w:rsidP="0008472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Pr="00721587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 w:rsidRPr="00657EFA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  <w:r w:rsidRPr="00A02C41">
              <w:t>методами планирования эксперимента при получении зад</w:t>
            </w:r>
            <w:r>
              <w:t>анного рекомбинантного продукта</w:t>
            </w:r>
            <w:r w:rsidRPr="006C3D3E">
              <w:t>.</w:t>
            </w:r>
          </w:p>
        </w:tc>
      </w:tr>
    </w:tbl>
    <w:p w:rsidR="000F1783" w:rsidRDefault="000F1783" w:rsidP="007A7ABA">
      <w:pPr>
        <w:ind w:left="720" w:firstLine="0"/>
        <w:contextualSpacing/>
        <w:rPr>
          <w:b/>
          <w:sz w:val="28"/>
          <w:szCs w:val="28"/>
        </w:rPr>
      </w:pPr>
    </w:p>
    <w:p w:rsidR="00084723" w:rsidRDefault="00084723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91DE3">
      <w:pPr>
        <w:numPr>
          <w:ilvl w:val="0"/>
          <w:numId w:val="4"/>
        </w:numPr>
        <w:tabs>
          <w:tab w:val="left" w:pos="360"/>
        </w:tabs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081A59">
      <w:pPr>
        <w:tabs>
          <w:tab w:val="left" w:pos="360"/>
        </w:tabs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084723" w:rsidP="00AA2A5C">
            <w:pPr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081A5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081A5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081A5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EB010D">
        <w:tc>
          <w:tcPr>
            <w:tcW w:w="1668" w:type="dxa"/>
          </w:tcPr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084723" w:rsidRDefault="00084723" w:rsidP="00084723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научного познания и структуру научного знания; типы научной рациональности; оснований и функций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084723" w:rsidRPr="00DA515E" w:rsidRDefault="00084723" w:rsidP="0008472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A515E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Pr="00DA515E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084723">
        <w:tc>
          <w:tcPr>
            <w:tcW w:w="1668" w:type="dxa"/>
          </w:tcPr>
          <w:p w:rsidR="00084723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084723" w:rsidRDefault="00084723" w:rsidP="00084723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084723" w:rsidRPr="00DA515E" w:rsidRDefault="00084723" w:rsidP="0008472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A515E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Pr="00DA515E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084723">
        <w:tc>
          <w:tcPr>
            <w:tcW w:w="1668" w:type="dxa"/>
          </w:tcPr>
          <w:p w:rsidR="00084723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84723" w:rsidRDefault="00084723" w:rsidP="00084723">
            <w:pPr>
              <w:widowControl/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084723" w:rsidRDefault="00084723" w:rsidP="0008472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Default="00084723" w:rsidP="0008472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5B2658">
              <w:t xml:space="preserve">современные экспериментальные и теоретические </w:t>
            </w:r>
            <w:r w:rsidR="005B2658">
              <w:lastRenderedPageBreak/>
              <w:t>методы исследования в области биотехнологии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5B2658">
              <w:t>способностью к критическому анализу и оценке современных научных достижений в области биотехнологии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414BE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414BE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Знать</w:t>
            </w:r>
          </w:p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57EFA" w:rsidRDefault="00084723" w:rsidP="00084723">
            <w:pPr>
              <w:ind w:firstLine="0"/>
            </w:pPr>
            <w:r w:rsidRPr="00D369F0">
              <w:rPr>
                <w:b/>
              </w:rPr>
              <w:t>Знание</w:t>
            </w:r>
            <w:r w:rsidRPr="00657EFA">
              <w:t xml:space="preserve"> </w:t>
            </w:r>
            <w:r>
              <w:rPr>
                <w:rFonts w:eastAsia="SimSun"/>
              </w:rPr>
              <w:t>основные типы наноплатформ (полимерные наночастицы, наночастицы на основе липидов, дендримеры и т.д.), используемых в медицинских целях, их свойства, методы получения, области применения</w:t>
            </w:r>
            <w:r>
              <w:t xml:space="preserve">; современные биотехнологические методы получения лекарственных средств: генетическая инженерия, белковая инженерия, инженерная энзимология; </w:t>
            </w:r>
            <w:r>
              <w:rPr>
                <w:rFonts w:eastAsia="SimSun"/>
              </w:rPr>
              <w:t>современные подходы биотехнологии и бионанотехнологии к конструированию средств доставки активных</w:t>
            </w:r>
            <w:r>
              <w:rPr>
                <w:rFonts w:eastAsia="SimSun"/>
                <w:i/>
              </w:rPr>
              <w:t xml:space="preserve"> </w:t>
            </w:r>
            <w:r>
              <w:rPr>
                <w:rFonts w:eastAsia="SimSun"/>
              </w:rPr>
              <w:t>фармацевтических субстанций</w:t>
            </w:r>
            <w:r>
              <w:t>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устных/письменных заданий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kern w:val="24"/>
              </w:rPr>
            </w:pPr>
            <w:r w:rsidRPr="00D369F0">
              <w:rPr>
                <w:kern w:val="24"/>
              </w:rPr>
              <w:t>Шкала 1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Уметь</w:t>
            </w:r>
          </w:p>
          <w:p w:rsidR="00084723" w:rsidRPr="00B06A52" w:rsidRDefault="00084723" w:rsidP="00084723">
            <w:pPr>
              <w:ind w:firstLine="0"/>
              <w:contextualSpacing/>
              <w:jc w:val="center"/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57EFA" w:rsidRDefault="00084723" w:rsidP="00084723">
            <w:pPr>
              <w:ind w:firstLine="0"/>
            </w:pPr>
            <w:r w:rsidRPr="00D369F0">
              <w:rPr>
                <w:b/>
              </w:rPr>
              <w:t>Умение</w:t>
            </w:r>
            <w:r w:rsidRPr="00657EFA">
              <w:t xml:space="preserve"> </w:t>
            </w:r>
            <w:r>
              <w:t>осуществлять постадийный контроль и стандартизацию получаемых препаратов (например, определение активности антибиотиков, ферментативной активности, жизнеспособности клеток); разрабатывать готовые формы лекарственных препаратов.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устных/письменных заданий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D369F0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1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lastRenderedPageBreak/>
              <w:t>Владеть</w:t>
            </w:r>
          </w:p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E4A45" w:rsidRDefault="00084723" w:rsidP="00084723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975B21">
              <w:rPr>
                <w:b/>
              </w:rPr>
              <w:t>Владение</w:t>
            </w:r>
            <w:r w:rsidRPr="00D369F0">
              <w:rPr>
                <w:b/>
                <w:i/>
              </w:rPr>
              <w:t xml:space="preserve"> </w:t>
            </w:r>
            <w:r>
              <w:t>методами планирования эксперимента при получении заданного рекомбинантного продукта.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практического задания,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тестирование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D369F0">
              <w:rPr>
                <w:kern w:val="24"/>
              </w:rPr>
              <w:t>Шкала 2</w:t>
            </w:r>
          </w:p>
        </w:tc>
      </w:tr>
    </w:tbl>
    <w:p w:rsidR="000F1783" w:rsidRDefault="000F1783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8472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8472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081A59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081A59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081A59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081A59" w:rsidRPr="007A7ABA" w:rsidRDefault="00081A59" w:rsidP="00081A59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91DE3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81A59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81A5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42039">
        <w:rPr>
          <w:sz w:val="28"/>
          <w:szCs w:val="28"/>
        </w:rPr>
        <w:t xml:space="preserve">Психология и педагогика : Учеб. пособие для вузов / Е. И. Артамонова, Д. В. Чернилевский. — М.: МАНПО, 2012. — 353 с.. — Библиогр.: с. 347-353 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42039">
        <w:rPr>
          <w:sz w:val="28"/>
          <w:szCs w:val="28"/>
        </w:rPr>
        <w:t xml:space="preserve">Психология и педагогика: Учеб. </w:t>
      </w:r>
      <w:r w:rsidR="00754D5E" w:rsidRPr="00742039">
        <w:rPr>
          <w:sz w:val="28"/>
          <w:szCs w:val="28"/>
        </w:rPr>
        <w:t>П</w:t>
      </w:r>
      <w:r w:rsidR="00697600" w:rsidRPr="00742039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742039" w:rsidRPr="00742039" w:rsidRDefault="00742039" w:rsidP="00742039">
      <w:pPr>
        <w:widowControl/>
        <w:shd w:val="clear" w:color="auto" w:fill="FFFFFF"/>
        <w:tabs>
          <w:tab w:val="left" w:pos="993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2039">
        <w:rPr>
          <w:sz w:val="28"/>
          <w:szCs w:val="28"/>
        </w:rPr>
        <w:t>Щелкунов С. Н. Генетическая инженерия: Учеб.-справ. пособие. — 4-е изд., стер. — Новосибирск: Сиб. унив. изд-во, 2010. — 514 с.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jc w:val="left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4. </w:t>
      </w:r>
      <w:r w:rsidRPr="00742039">
        <w:rPr>
          <w:bCs/>
          <w:sz w:val="28"/>
          <w:szCs w:val="28"/>
          <w:shd w:val="clear" w:color="auto" w:fill="FFFFFF"/>
        </w:rPr>
        <w:t>Льюин Б.</w:t>
      </w:r>
      <w:r w:rsidRPr="0074203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742039">
        <w:rPr>
          <w:sz w:val="28"/>
          <w:szCs w:val="28"/>
          <w:shd w:val="clear" w:color="auto" w:fill="FFFFFF"/>
        </w:rPr>
        <w:t xml:space="preserve">Гены. пер. с 9-го англ. изд. / Б. Льюин. - М.: БИНОМ. Лаборатория знаний, 2012. - 896 с. 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2039">
        <w:rPr>
          <w:sz w:val="28"/>
          <w:szCs w:val="28"/>
        </w:rPr>
        <w:t>Шмид Р. Наглядная биотехнология и генетическая инженерия. пер. с нем. Издательство: БИНОМ. Лаборатория знаний. 2014. 325 с.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42039">
        <w:rPr>
          <w:sz w:val="28"/>
          <w:szCs w:val="28"/>
        </w:rPr>
        <w:t>Глик Б. Молекулярная биотехнология. Принципы и применение: пер. с англ. / Б. Глик, Дж. Пастернак. – М.: Мир, 2002. – 590 с.</w:t>
      </w:r>
    </w:p>
    <w:p w:rsidR="00C673EB" w:rsidRPr="00754D5E" w:rsidRDefault="00C673EB" w:rsidP="00081A59">
      <w:pPr>
        <w:widowControl/>
        <w:ind w:firstLine="720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42039">
        <w:rPr>
          <w:sz w:val="28"/>
          <w:szCs w:val="28"/>
        </w:rPr>
        <w:t>Информационные ресурсы и технологии: учебное пособие / В. В. Нечаев [и др.]; под ред. В. В. Нечаева. — М.: МИРЭА, 2015. — 92 с.: ил. — Библиогр.: с. 84-86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742039"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Сазыкин Ю.О., Орехов С.Н., Чакалева И.И. Биотехнология. Издательство: Academia. Серия: Высшее профессиональное образование. 2008. 256с.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4. Пшеничникова А.Б. Основы биотехнологии. М.: МИТХТ. 2010. 92 с.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Style w:val="af9"/>
          <w:b w:val="0"/>
          <w:color w:val="000000"/>
          <w:sz w:val="28"/>
          <w:szCs w:val="28"/>
        </w:rPr>
        <w:t>5. Каплун А.П., Демидюк И.В. Словарь терминов по циклу дисциплин медико-биологического направления. Москва, ИПЦ МИТХТ, 2010. Т.1 и 2. 50+ 50 с.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Гроза Н.В. Терминологический словарь по биотехнологии и биомедицине. Учебное пособие. ИПЦ МИТХТ 2014.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Морозова Н.Г., Маслов М.А. Отдельные главы общей биотехнологии. Клеточная биотехнология растений. Учебное пособие. ИПЦ МИТХТ 2010. 44 с.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8. Гусев М.В., Минеева Л.А.</w:t>
      </w:r>
      <w:r>
        <w:rPr>
          <w:bCs/>
          <w:kern w:val="36"/>
          <w:sz w:val="28"/>
          <w:szCs w:val="28"/>
        </w:rPr>
        <w:t xml:space="preserve"> Микробиология. </w:t>
      </w:r>
      <w:r>
        <w:rPr>
          <w:sz w:val="28"/>
          <w:szCs w:val="28"/>
        </w:rPr>
        <w:t>М.</w:t>
      </w:r>
      <w:r>
        <w:rPr>
          <w:rStyle w:val="10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Академия, 2007: 464с. </w:t>
      </w:r>
    </w:p>
    <w:p w:rsidR="00081A59" w:rsidRDefault="00081A59" w:rsidP="00081A59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081A59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WEB of Science, WOS </w:t>
      </w:r>
      <w:hyperlink r:id="rId9" w:tgtFrame="_blank" w:history="1">
        <w:r w:rsidRPr="005C5602">
          <w:rPr>
            <w:rStyle w:val="a6"/>
            <w:sz w:val="28"/>
            <w:szCs w:val="28"/>
            <w:lang w:val="en-US"/>
          </w:rPr>
          <w:t>http://www.chemweb.com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</w:rPr>
      </w:pPr>
      <w:r w:rsidRPr="005C5602">
        <w:rPr>
          <w:sz w:val="28"/>
          <w:szCs w:val="28"/>
        </w:rPr>
        <w:t xml:space="preserve">Электронная библиотека РФФИ </w:t>
      </w:r>
      <w:r w:rsidRPr="005C5602">
        <w:rPr>
          <w:sz w:val="28"/>
          <w:szCs w:val="28"/>
          <w:lang w:val="en-US"/>
        </w:rPr>
        <w:t>e</w:t>
      </w:r>
      <w:r w:rsidRPr="005C5602">
        <w:rPr>
          <w:sz w:val="28"/>
          <w:szCs w:val="28"/>
        </w:rPr>
        <w:t>-</w:t>
      </w:r>
      <w:r w:rsidRPr="005C5602">
        <w:rPr>
          <w:sz w:val="28"/>
          <w:szCs w:val="28"/>
          <w:lang w:val="en-US"/>
        </w:rPr>
        <w:t>library</w:t>
      </w:r>
      <w:r w:rsidRPr="005C5602">
        <w:rPr>
          <w:sz w:val="28"/>
          <w:szCs w:val="28"/>
        </w:rPr>
        <w:t xml:space="preserve"> </w:t>
      </w:r>
      <w:hyperlink r:id="rId10" w:tgtFrame="_blank" w:history="1">
        <w:r w:rsidRPr="005C5602">
          <w:rPr>
            <w:rStyle w:val="a6"/>
            <w:sz w:val="28"/>
            <w:szCs w:val="28"/>
            <w:lang w:val="en-US"/>
          </w:rPr>
          <w:t>http</w:t>
        </w:r>
        <w:r w:rsidRPr="005C5602">
          <w:rPr>
            <w:rStyle w:val="a6"/>
            <w:sz w:val="28"/>
            <w:szCs w:val="28"/>
          </w:rPr>
          <w:t>://</w:t>
        </w:r>
        <w:r w:rsidRPr="005C5602">
          <w:rPr>
            <w:rStyle w:val="a6"/>
            <w:sz w:val="28"/>
            <w:szCs w:val="28"/>
            <w:lang w:val="en-US"/>
          </w:rPr>
          <w:t>elibrary</w:t>
        </w:r>
        <w:r w:rsidRPr="005C5602">
          <w:rPr>
            <w:rStyle w:val="a6"/>
            <w:sz w:val="28"/>
            <w:szCs w:val="28"/>
          </w:rPr>
          <w:t>.</w:t>
        </w:r>
        <w:r w:rsidRPr="005C5602">
          <w:rPr>
            <w:rStyle w:val="a6"/>
            <w:sz w:val="28"/>
            <w:szCs w:val="28"/>
            <w:lang w:val="en-US"/>
          </w:rPr>
          <w:t>ru</w:t>
        </w:r>
      </w:hyperlink>
      <w:r w:rsidRPr="005C5602">
        <w:rPr>
          <w:sz w:val="28"/>
          <w:szCs w:val="28"/>
        </w:rPr>
        <w:t xml:space="preserve">  </w:t>
      </w:r>
      <w:hyperlink r:id="rId11" w:tgtFrame="_blank" w:history="1">
        <w:r w:rsidRPr="005C5602">
          <w:rPr>
            <w:rStyle w:val="a6"/>
            <w:sz w:val="28"/>
            <w:szCs w:val="28"/>
            <w:lang w:val="en-US"/>
          </w:rPr>
          <w:t>http</w:t>
        </w:r>
        <w:r w:rsidRPr="005C5602">
          <w:rPr>
            <w:rStyle w:val="a6"/>
            <w:sz w:val="28"/>
            <w:szCs w:val="28"/>
          </w:rPr>
          <w:t>://</w:t>
        </w:r>
        <w:r w:rsidRPr="005C5602">
          <w:rPr>
            <w:rStyle w:val="a6"/>
            <w:sz w:val="28"/>
            <w:szCs w:val="28"/>
            <w:lang w:val="en-US"/>
          </w:rPr>
          <w:t>e</w:t>
        </w:r>
        <w:r w:rsidRPr="005C5602">
          <w:rPr>
            <w:rStyle w:val="a6"/>
            <w:sz w:val="28"/>
            <w:szCs w:val="28"/>
          </w:rPr>
          <w:t>-</w:t>
        </w:r>
        <w:r w:rsidRPr="005C5602">
          <w:rPr>
            <w:rStyle w:val="a6"/>
            <w:sz w:val="28"/>
            <w:szCs w:val="28"/>
            <w:lang w:val="en-US"/>
          </w:rPr>
          <w:t>library</w:t>
        </w:r>
        <w:r w:rsidRPr="005C5602">
          <w:rPr>
            <w:rStyle w:val="a6"/>
            <w:sz w:val="28"/>
            <w:szCs w:val="28"/>
          </w:rPr>
          <w:t>.</w:t>
        </w:r>
        <w:r w:rsidRPr="005C5602">
          <w:rPr>
            <w:rStyle w:val="a6"/>
            <w:sz w:val="28"/>
            <w:szCs w:val="28"/>
            <w:lang w:val="en-US"/>
          </w:rPr>
          <w:t>ru</w:t>
        </w:r>
      </w:hyperlink>
    </w:p>
    <w:p w:rsidR="00081A59" w:rsidRPr="00C46F37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Scirus </w:t>
      </w:r>
      <w:hyperlink r:id="rId12" w:tgtFrame="_blank" w:history="1">
        <w:r w:rsidRPr="005C5602"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081A59" w:rsidRPr="00C46F37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>Sciencedirect</w:t>
      </w:r>
      <w:r w:rsidRPr="00C46F37">
        <w:rPr>
          <w:sz w:val="28"/>
          <w:szCs w:val="28"/>
          <w:lang w:val="en-US"/>
        </w:rPr>
        <w:t xml:space="preserve"> </w:t>
      </w:r>
      <w:hyperlink r:id="rId13" w:tgtFrame="_blank" w:history="1">
        <w:r w:rsidRPr="00C46F37"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PubMed, PubMedCentral, Biomedcentral </w:t>
      </w:r>
      <w:hyperlink r:id="rId14" w:tgtFrame="_blank" w:history="1">
        <w:r w:rsidRPr="005C5602">
          <w:rPr>
            <w:rStyle w:val="a6"/>
            <w:sz w:val="28"/>
            <w:szCs w:val="28"/>
            <w:lang w:val="en-US"/>
          </w:rPr>
          <w:t>http://www.ncbi.nlm.nih.gov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5" w:tgtFrame="_blank" w:history="1">
        <w:r w:rsidRPr="005C5602">
          <w:rPr>
            <w:rStyle w:val="a6"/>
            <w:sz w:val="28"/>
            <w:szCs w:val="28"/>
            <w:lang w:val="en-US"/>
          </w:rPr>
          <w:t>http://www.pubmedcentral.nih.gov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6" w:tgtFrame="_blank" w:history="1">
        <w:r w:rsidRPr="005C5602"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CAS </w:t>
      </w:r>
      <w:hyperlink r:id="rId17" w:tgtFrame="_blank" w:history="1">
        <w:r w:rsidRPr="005C5602">
          <w:rPr>
            <w:rStyle w:val="a6"/>
            <w:sz w:val="28"/>
            <w:szCs w:val="28"/>
            <w:lang w:val="en-US"/>
          </w:rPr>
          <w:t>http://www.cas.org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8" w:tgtFrame="_blank" w:history="1">
        <w:r w:rsidRPr="005C5602">
          <w:rPr>
            <w:rStyle w:val="a6"/>
            <w:sz w:val="28"/>
            <w:szCs w:val="28"/>
            <w:lang w:val="en-US"/>
          </w:rPr>
          <w:t>http://www.chemport.org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9" w:tgtFrame="_blank" w:history="1">
        <w:r w:rsidRPr="005C5602">
          <w:rPr>
            <w:rStyle w:val="a6"/>
            <w:sz w:val="28"/>
            <w:szCs w:val="28"/>
            <w:lang w:val="en-US"/>
          </w:rPr>
          <w:t>http://www.chemistry.org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20" w:tgtFrame="_blank" w:history="1">
        <w:r w:rsidRPr="005C5602"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CiteXplore </w:t>
      </w:r>
      <w:hyperlink r:id="rId21" w:tgtFrame="_blank" w:history="1">
        <w:r w:rsidRPr="005C5602">
          <w:rPr>
            <w:rStyle w:val="a6"/>
            <w:sz w:val="28"/>
            <w:szCs w:val="28"/>
            <w:lang w:val="en-US"/>
          </w:rPr>
          <w:t>http://www.ebi.ac.uk/citexplore</w:t>
        </w:r>
      </w:hyperlink>
      <w:r w:rsidRPr="005C5602">
        <w:rPr>
          <w:sz w:val="28"/>
          <w:szCs w:val="28"/>
          <w:lang w:val="en-US"/>
        </w:rPr>
        <w:t xml:space="preserve"> </w:t>
      </w:r>
    </w:p>
    <w:p w:rsidR="00081A59" w:rsidRPr="00F0732A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>CSA</w:t>
      </w:r>
      <w:r w:rsidRPr="00F0732A">
        <w:rPr>
          <w:sz w:val="28"/>
          <w:szCs w:val="28"/>
          <w:lang w:val="en-US"/>
        </w:rPr>
        <w:t xml:space="preserve"> </w:t>
      </w:r>
      <w:hyperlink r:id="rId22" w:tgtFrame="_blank" w:history="1">
        <w:r w:rsidRPr="005C5602"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081A59" w:rsidRPr="00F0732A" w:rsidRDefault="00081A59" w:rsidP="00C91DE3">
      <w:pPr>
        <w:numPr>
          <w:ilvl w:val="0"/>
          <w:numId w:val="5"/>
        </w:numPr>
        <w:ind w:left="0" w:firstLine="720"/>
        <w:rPr>
          <w:sz w:val="28"/>
          <w:szCs w:val="28"/>
          <w:lang w:val="en-US"/>
        </w:rPr>
      </w:pPr>
      <w:r w:rsidRPr="00F0732A">
        <w:rPr>
          <w:sz w:val="28"/>
          <w:szCs w:val="28"/>
          <w:lang w:val="en-US"/>
        </w:rPr>
        <w:t>http://www.biotechnolog.ru/</w:t>
      </w:r>
    </w:p>
    <w:p w:rsidR="00081A59" w:rsidRDefault="00265C9E" w:rsidP="00C91DE3">
      <w:pPr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hyperlink r:id="rId23" w:history="1">
        <w:r w:rsidR="00081A59" w:rsidRPr="000D7D4D">
          <w:rPr>
            <w:rStyle w:val="a6"/>
            <w:sz w:val="28"/>
            <w:szCs w:val="28"/>
          </w:rPr>
          <w:t>http://window.edu.ru/</w:t>
        </w:r>
      </w:hyperlink>
    </w:p>
    <w:p w:rsidR="00081A59" w:rsidRDefault="00081A59" w:rsidP="00081A59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081A59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81A59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081A59" w:rsidRDefault="00081A59" w:rsidP="00081A59">
      <w:pPr>
        <w:pStyle w:val="af5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081A59">
      <w:pPr>
        <w:pStyle w:val="af5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81A59">
      <w:pPr>
        <w:pStyle w:val="af5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81A59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081A59">
      <w:pPr>
        <w:ind w:firstLine="720"/>
        <w:contextualSpacing/>
        <w:rPr>
          <w:sz w:val="28"/>
          <w:szCs w:val="28"/>
        </w:rPr>
      </w:pPr>
    </w:p>
    <w:p w:rsidR="00C91DE3" w:rsidRDefault="00D24362" w:rsidP="00081A59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5B2658">
        <w:rPr>
          <w:sz w:val="28"/>
          <w:szCs w:val="28"/>
        </w:rPr>
        <w:t>0</w:t>
      </w:r>
      <w:r w:rsidR="005B2658" w:rsidRPr="005B2658">
        <w:rPr>
          <w:sz w:val="28"/>
          <w:szCs w:val="28"/>
        </w:rPr>
        <w:t>6</w:t>
      </w:r>
      <w:r w:rsidR="005B2658">
        <w:rPr>
          <w:sz w:val="28"/>
          <w:szCs w:val="28"/>
        </w:rPr>
        <w:t xml:space="preserve">.06.01 «Биологические науки» </w:t>
      </w:r>
      <w:r w:rsidR="00C91DE3">
        <w:rPr>
          <w:sz w:val="28"/>
          <w:szCs w:val="28"/>
        </w:rPr>
        <w:t>с научной специальностью</w:t>
      </w:r>
      <w:r w:rsidR="005B2658">
        <w:rPr>
          <w:sz w:val="28"/>
          <w:szCs w:val="28"/>
        </w:rPr>
        <w:t xml:space="preserve"> </w:t>
      </w:r>
      <w:r w:rsidR="00C91DE3">
        <w:rPr>
          <w:sz w:val="28"/>
          <w:szCs w:val="28"/>
        </w:rPr>
        <w:t>1.5.6 «Биотехнология»</w:t>
      </w:r>
      <w:r w:rsidR="005B2658">
        <w:rPr>
          <w:sz w:val="28"/>
          <w:szCs w:val="28"/>
        </w:rPr>
        <w:t>.</w:t>
      </w:r>
    </w:p>
    <w:p w:rsidR="00C91DE3" w:rsidRDefault="00C91DE3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91DE3" w:rsidTr="00C91DE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91DE3" w:rsidRDefault="00C91DE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91DE3" w:rsidRDefault="00C91DE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6D04BEF8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91DE3" w:rsidRDefault="00C91DE3" w:rsidP="00C91DE3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91DE3" w:rsidTr="00C91DE3">
        <w:tc>
          <w:tcPr>
            <w:tcW w:w="2500" w:type="pct"/>
          </w:tcPr>
          <w:p w:rsidR="00C91DE3" w:rsidRDefault="00C91DE3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91DE3" w:rsidRDefault="00C91DE3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C91DE3" w:rsidRDefault="00C91DE3" w:rsidP="00C91DE3">
      <w:pPr>
        <w:widowControl/>
        <w:ind w:firstLine="0"/>
        <w:jc w:val="center"/>
        <w:rPr>
          <w:b/>
          <w:sz w:val="16"/>
          <w:szCs w:val="16"/>
        </w:rPr>
      </w:pPr>
    </w:p>
    <w:p w:rsidR="00C91DE3" w:rsidRDefault="00C91DE3" w:rsidP="00C91DE3">
      <w:pPr>
        <w:widowControl/>
        <w:ind w:firstLine="0"/>
        <w:jc w:val="center"/>
        <w:rPr>
          <w:b/>
          <w:sz w:val="16"/>
          <w:szCs w:val="16"/>
        </w:rPr>
      </w:pPr>
    </w:p>
    <w:p w:rsidR="00C91DE3" w:rsidRDefault="00C91DE3" w:rsidP="00C91DE3">
      <w:pPr>
        <w:ind w:firstLine="0"/>
        <w:jc w:val="center"/>
        <w:rPr>
          <w:b/>
        </w:rPr>
      </w:pPr>
      <w:r>
        <w:rPr>
          <w:b/>
        </w:rPr>
        <w:t>Б2.В.02 «Педагогическая практика»</w:t>
      </w: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Направление подготовки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06.06.01 «Биологические науки»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Научная специальность</w:t>
      </w:r>
    </w:p>
    <w:p w:rsidR="00C91DE3" w:rsidRDefault="00C91DE3" w:rsidP="00C91DE3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1.5.6 «Биотехнология»</w:t>
      </w: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Квалификация выпускника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Форма обучения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  <w:jc w:val="center"/>
      </w:pPr>
      <w:r>
        <w:t>Москва 2021</w:t>
      </w: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DE3" w:rsidRDefault="00C91DE3" w:rsidP="00C91DE3">
      <w:pPr>
        <w:pStyle w:val="af1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C91DE3" w:rsidRDefault="00C91DE3" w:rsidP="00C91DE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C91DE3" w:rsidRDefault="00C91DE3" w:rsidP="00C91D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>
        <w:rPr>
          <w:spacing w:val="-2"/>
          <w:sz w:val="28"/>
          <w:szCs w:val="28"/>
        </w:rPr>
        <w:t>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 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91DE3" w:rsidTr="00C91DE3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91DE3" w:rsidTr="00C91DE3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91DE3" w:rsidTr="00C91DE3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91DE3" w:rsidTr="00C91DE3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C91DE3" w:rsidTr="00C91DE3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91DE3" w:rsidTr="00C91DE3">
        <w:trPr>
          <w:trHeight w:val="15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(</w:t>
            </w:r>
            <w:r>
              <w:rPr>
                <w:rStyle w:val="FontStyle28"/>
              </w:rPr>
      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Знать </w:t>
            </w:r>
            <w:r>
              <w:rPr>
                <w:rFonts w:eastAsia="SimSun"/>
              </w:rPr>
              <w:t xml:space="preserve">методологию использования комплекса </w:t>
            </w:r>
            <w:r>
              <w:t xml:space="preserve">инструментальных методов исследования в бионанотехнологии для оценки структуры, размеров и функциональных </w:t>
            </w:r>
            <w:r>
              <w:rPr>
                <w:rFonts w:eastAsia="SimSun"/>
              </w:rPr>
              <w:t>характеристик бионаносистем и биоматериалов</w:t>
            </w:r>
          </w:p>
        </w:tc>
      </w:tr>
    </w:tbl>
    <w:p w:rsidR="00C91DE3" w:rsidRDefault="00C91DE3" w:rsidP="00C91DE3">
      <w:pPr>
        <w:ind w:left="720" w:firstLine="0"/>
        <w:contextualSpacing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C91DE3" w:rsidTr="00C91DE3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C91DE3" w:rsidTr="00C91DE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Собеседование</w:t>
            </w:r>
          </w:p>
        </w:tc>
      </w:tr>
      <w:tr w:rsidR="00C91DE3" w:rsidTr="00C91DE3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Собеседование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Составление и защита отчета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</w:pPr>
          </w:p>
        </w:tc>
      </w:tr>
    </w:tbl>
    <w:p w:rsidR="00C91DE3" w:rsidRDefault="00C91DE3" w:rsidP="00C91DE3">
      <w:pPr>
        <w:widowControl/>
        <w:ind w:firstLine="0"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91DE3" w:rsidRDefault="00C91DE3">
            <w:pPr>
              <w:rPr>
                <w:kern w:val="24"/>
              </w:rPr>
            </w:pPr>
          </w:p>
        </w:tc>
      </w:tr>
      <w:tr w:rsidR="00C91DE3" w:rsidTr="00C91DE3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Знание </w:t>
            </w:r>
            <w:r>
              <w:rPr>
                <w:rFonts w:eastAsia="SimSun"/>
              </w:rPr>
              <w:t xml:space="preserve">методологии использования комплекса </w:t>
            </w:r>
            <w:r>
              <w:t xml:space="preserve">инструментальных методов исследования в бионанотехнологии для оценки структуры, размеров и </w:t>
            </w:r>
            <w:r>
              <w:lastRenderedPageBreak/>
              <w:t xml:space="preserve">функциональных </w:t>
            </w:r>
            <w:r>
              <w:rPr>
                <w:rFonts w:eastAsia="SimSun"/>
              </w:rPr>
              <w:t>характеристик бионаносистем и биоматериалов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C91DE3" w:rsidRDefault="00C91DE3">
            <w:pPr>
              <w:rPr>
                <w:kern w:val="24"/>
              </w:rPr>
            </w:pP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91DE3" w:rsidTr="00C91DE3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C91DE3" w:rsidTr="00C91DE3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91DE3" w:rsidTr="00C91DE3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C91DE3" w:rsidTr="00C91DE3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 или не зачтено)</w:t>
            </w:r>
          </w:p>
          <w:p w:rsidR="00C91DE3" w:rsidRDefault="00C91DE3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C91DE3" w:rsidRDefault="00C91DE3" w:rsidP="00C91DE3">
      <w:pPr>
        <w:pStyle w:val="afa"/>
        <w:tabs>
          <w:tab w:val="left" w:pos="993"/>
        </w:tabs>
        <w:spacing w:line="240" w:lineRule="auto"/>
        <w:ind w:firstLine="720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             И.В. Гайдамашко, Ю.И. Жемерикина, Л.В.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C91DE3" w:rsidRDefault="00C91DE3" w:rsidP="00C91DE3">
      <w:pPr>
        <w:pStyle w:val="afa"/>
        <w:tabs>
          <w:tab w:val="left" w:pos="993"/>
        </w:tabs>
        <w:spacing w:line="240" w:lineRule="auto"/>
        <w:ind w:firstLine="720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: учебное пособие / Ю.Б. Надточий. — Казань: "Бук", 2019. 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91DE3" w:rsidRDefault="00C91DE3" w:rsidP="00C91DE3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1. Основы психологии и педагогики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        </w:t>
      </w:r>
      <w:r>
        <w:rPr>
          <w:sz w:val="28"/>
          <w:szCs w:val="28"/>
          <w:shd w:val="clear" w:color="auto" w:fill="FFFFFF"/>
        </w:rPr>
        <w:lastRenderedPageBreak/>
        <w:t>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C91DE3" w:rsidRDefault="00C91DE3" w:rsidP="00C91DE3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Ю.Б. Надточий. — Казань: Бук, 2019. — 60 с. (МИРЭА 15 Н17)</w:t>
      </w:r>
    </w:p>
    <w:p w:rsidR="00C91DE3" w:rsidRDefault="00C91DE3" w:rsidP="00C91DE3">
      <w:pPr>
        <w:widowControl/>
        <w:tabs>
          <w:tab w:val="num" w:pos="993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Психология и педагогика профессиональной деятельности. [Электронный ресурс] / Н.И. Корытченкова, Т.И. Кувшинова. — Электрон. дан. — Кемерово: КемГУ,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WEB of Science, WOS </w:t>
      </w:r>
      <w:hyperlink r:id="rId25" w:tgtFrame="_blank" w:history="1">
        <w:r>
          <w:rPr>
            <w:rStyle w:val="a6"/>
            <w:sz w:val="28"/>
            <w:szCs w:val="28"/>
            <w:lang w:val="en-US"/>
          </w:rPr>
          <w:t>http://www.chemweb.com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РФФИ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library</w:t>
      </w:r>
      <w:r w:rsidRPr="00C91DE3">
        <w:rPr>
          <w:sz w:val="28"/>
          <w:szCs w:val="28"/>
        </w:rPr>
        <w:t xml:space="preserve"> </w:t>
      </w:r>
      <w:hyperlink r:id="rId26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  <w:hyperlink r:id="rId27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Scirus </w:t>
      </w:r>
      <w:hyperlink r:id="rId28" w:tgtFrame="_blank" w:history="1">
        <w:r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Sciencedirect </w:t>
      </w:r>
      <w:hyperlink r:id="rId29" w:tgtFrame="_blank" w:history="1">
        <w:r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PubMed, PubMedCentral, Biomedcentral </w:t>
      </w:r>
      <w:hyperlink r:id="rId30" w:tgtFrame="_blank" w:history="1">
        <w:r>
          <w:rPr>
            <w:rStyle w:val="a6"/>
            <w:sz w:val="28"/>
            <w:szCs w:val="28"/>
            <w:lang w:val="en-US"/>
          </w:rPr>
          <w:t>http://www.ncbi.nlm.nih.gov</w:t>
        </w:r>
      </w:hyperlink>
      <w:r>
        <w:rPr>
          <w:sz w:val="28"/>
          <w:szCs w:val="28"/>
          <w:lang w:val="en-US"/>
        </w:rPr>
        <w:t xml:space="preserve"> </w:t>
      </w:r>
      <w:hyperlink r:id="rId31" w:tgtFrame="_blank" w:history="1">
        <w:r>
          <w:rPr>
            <w:rStyle w:val="a6"/>
            <w:sz w:val="28"/>
            <w:szCs w:val="28"/>
            <w:lang w:val="en-US"/>
          </w:rPr>
          <w:t>http://www.pubmedcentral.nih.gov</w:t>
        </w:r>
      </w:hyperlink>
      <w:r>
        <w:rPr>
          <w:sz w:val="28"/>
          <w:szCs w:val="28"/>
          <w:lang w:val="en-US"/>
        </w:rPr>
        <w:t xml:space="preserve"> </w:t>
      </w:r>
      <w:hyperlink r:id="rId32" w:tgtFrame="_blank" w:history="1">
        <w:r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CAS </w:t>
      </w:r>
      <w:hyperlink r:id="rId33" w:tgtFrame="_blank" w:history="1">
        <w:r>
          <w:rPr>
            <w:rStyle w:val="a6"/>
            <w:sz w:val="28"/>
            <w:szCs w:val="28"/>
            <w:lang w:val="en-US"/>
          </w:rPr>
          <w:t>http://www.cas.org</w:t>
        </w:r>
      </w:hyperlink>
      <w:r>
        <w:rPr>
          <w:sz w:val="28"/>
          <w:szCs w:val="28"/>
          <w:lang w:val="en-US"/>
        </w:rPr>
        <w:t xml:space="preserve"> </w:t>
      </w:r>
      <w:hyperlink r:id="rId34" w:tgtFrame="_blank" w:history="1">
        <w:r>
          <w:rPr>
            <w:rStyle w:val="a6"/>
            <w:sz w:val="28"/>
            <w:szCs w:val="28"/>
            <w:lang w:val="en-US"/>
          </w:rPr>
          <w:t>http://www.chemport.org</w:t>
        </w:r>
      </w:hyperlink>
      <w:r>
        <w:rPr>
          <w:sz w:val="28"/>
          <w:szCs w:val="28"/>
          <w:lang w:val="en-US"/>
        </w:rPr>
        <w:t xml:space="preserve"> </w:t>
      </w:r>
      <w:hyperlink r:id="rId35" w:tgtFrame="_blank" w:history="1">
        <w:r>
          <w:rPr>
            <w:rStyle w:val="a6"/>
            <w:sz w:val="28"/>
            <w:szCs w:val="28"/>
            <w:lang w:val="en-US"/>
          </w:rPr>
          <w:t>http://www.chemistry.org</w:t>
        </w:r>
      </w:hyperlink>
      <w:r>
        <w:rPr>
          <w:sz w:val="28"/>
          <w:szCs w:val="28"/>
          <w:lang w:val="en-US"/>
        </w:rPr>
        <w:t xml:space="preserve"> </w:t>
      </w:r>
      <w:hyperlink r:id="rId36" w:tgtFrame="_blank" w:history="1">
        <w:r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CiteXplore </w:t>
      </w:r>
      <w:hyperlink r:id="rId37" w:tgtFrame="_blank" w:history="1">
        <w:r>
          <w:rPr>
            <w:rStyle w:val="a6"/>
            <w:sz w:val="28"/>
            <w:szCs w:val="28"/>
            <w:lang w:val="en-US"/>
          </w:rPr>
          <w:t>http://www.ebi.ac.uk/citexplore</w:t>
        </w:r>
      </w:hyperlink>
      <w:r>
        <w:rPr>
          <w:sz w:val="28"/>
          <w:szCs w:val="28"/>
          <w:lang w:val="en-US"/>
        </w:rPr>
        <w:t xml:space="preserve"> </w:t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CSA </w:t>
      </w:r>
      <w:hyperlink r:id="rId38" w:tgtFrame="_blank" w:history="1">
        <w:r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C91DE3" w:rsidRDefault="00C91DE3" w:rsidP="00C91DE3">
      <w:pPr>
        <w:numPr>
          <w:ilvl w:val="0"/>
          <w:numId w:val="7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http://www.biotechnolog.ru/</w:t>
      </w:r>
    </w:p>
    <w:p w:rsidR="00C91DE3" w:rsidRDefault="00265C9E" w:rsidP="00C91DE3">
      <w:pPr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9" w:history="1">
        <w:r w:rsidR="00C91DE3">
          <w:rPr>
            <w:rStyle w:val="a6"/>
            <w:sz w:val="28"/>
            <w:szCs w:val="28"/>
          </w:rPr>
          <w:t>http://window.edu.ru/</w:t>
        </w:r>
      </w:hyperlink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91DE3" w:rsidRDefault="00C91DE3" w:rsidP="00C91DE3">
      <w:pPr>
        <w:pStyle w:val="af5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06.06.01 «Биологические науки» с научной специальностью 1.5.6 «Биотехнология».</w:t>
      </w:r>
    </w:p>
    <w:p w:rsidR="00C91DE3" w:rsidRDefault="00C91DE3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91DE3" w:rsidTr="00C91DE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91DE3" w:rsidRDefault="00C91DE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91DE3" w:rsidRDefault="00C91DE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FFBD12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91DE3" w:rsidRDefault="00C91DE3" w:rsidP="00C91DE3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91DE3" w:rsidTr="00C91DE3">
        <w:tc>
          <w:tcPr>
            <w:tcW w:w="2500" w:type="pct"/>
          </w:tcPr>
          <w:p w:rsidR="00C91DE3" w:rsidRDefault="00C91DE3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91DE3" w:rsidRDefault="00C91DE3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Направление подготовки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</w:t>
      </w:r>
      <w:r>
        <w:rPr>
          <w:rFonts w:eastAsia="HiddenHorzOCR"/>
          <w:b/>
        </w:rPr>
        <w:t>6.06.01 «Биологические науки»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Научная специальность</w:t>
      </w:r>
    </w:p>
    <w:p w:rsidR="00C91DE3" w:rsidRDefault="00C91DE3" w:rsidP="00C91DE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1.5.6 «Биотехнология»</w:t>
      </w:r>
    </w:p>
    <w:p w:rsidR="00C91DE3" w:rsidRDefault="00C91DE3" w:rsidP="00C91DE3">
      <w:pPr>
        <w:widowControl/>
        <w:suppressAutoHyphens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Квалификация выпускника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Форма обучения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  <w:jc w:val="center"/>
      </w:pPr>
      <w:r>
        <w:t>Москва 2021</w:t>
      </w:r>
    </w:p>
    <w:p w:rsidR="00C91DE3" w:rsidRDefault="00C91DE3" w:rsidP="00C91DE3">
      <w:pPr>
        <w:widowControl/>
        <w:numPr>
          <w:ilvl w:val="0"/>
          <w:numId w:val="8"/>
        </w:numPr>
        <w:tabs>
          <w:tab w:val="left" w:pos="708"/>
        </w:tabs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91DE3" w:rsidRDefault="00C91DE3" w:rsidP="00C91D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91DE3" w:rsidRDefault="00C91DE3" w:rsidP="00C91DE3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физико-химические методы исследования в биотехнологии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биотехнология (7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физико-химические методы исследования в биотехнологии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биотехнология (7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91DE3" w:rsidTr="00C91DE3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91DE3" w:rsidTr="00C91DE3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</w:t>
            </w:r>
            <w:r>
              <w:rPr>
                <w:szCs w:val="28"/>
              </w:rPr>
              <w:t xml:space="preserve"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>
              <w:rPr>
                <w:szCs w:val="28"/>
              </w:rPr>
              <w:lastRenderedPageBreak/>
              <w:t>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УК-2 </w:t>
            </w:r>
            <w:r>
              <w:rPr>
                <w:szCs w:val="28"/>
              </w:rP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биотехнологии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проводить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rPr>
                <w:szCs w:val="28"/>
              </w:rP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C91DE3" w:rsidTr="00C91DE3">
        <w:trPr>
          <w:trHeight w:val="85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rPr>
                <w:szCs w:val="28"/>
              </w:rP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91DE3" w:rsidTr="00C91DE3">
        <w:trPr>
          <w:trHeight w:val="56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rPr>
                <w:szCs w:val="28"/>
              </w:rP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C91DE3" w:rsidTr="00C91DE3">
        <w:trPr>
          <w:trHeight w:val="84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rPr>
                <w:szCs w:val="28"/>
              </w:rPr>
      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 xml:space="preserve">ОПК-2 </w:t>
            </w:r>
            <w:r>
              <w:rPr>
                <w:spacing w:val="-2"/>
              </w:rPr>
              <w:t>(</w:t>
            </w:r>
            <w:r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91DE3" w:rsidTr="00C91DE3">
        <w:trPr>
          <w:trHeight w:val="585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rPr>
                <w:szCs w:val="28"/>
              </w:rPr>
              <w:t>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C91DE3" w:rsidRDefault="00C91DE3" w:rsidP="00C91DE3">
      <w:pPr>
        <w:ind w:left="720" w:firstLine="0"/>
        <w:contextualSpacing/>
        <w:rPr>
          <w:b/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91DE3" w:rsidTr="00C91DE3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Семестры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 год обучения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936/26</w:t>
            </w: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</w:tbl>
    <w:p w:rsidR="00C91DE3" w:rsidRDefault="00C91DE3" w:rsidP="00C91DE3">
      <w:pPr>
        <w:ind w:firstLine="0"/>
        <w:rPr>
          <w:b/>
          <w:sz w:val="28"/>
          <w:szCs w:val="28"/>
        </w:rPr>
      </w:pP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C91DE3" w:rsidRDefault="00C91DE3" w:rsidP="00C91DE3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91DE3" w:rsidTr="00C91DE3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91DE3" w:rsidRDefault="00C91DE3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</w:tr>
      <w:tr w:rsidR="00C91DE3" w:rsidTr="00C91DE3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</w:tbl>
    <w:p w:rsidR="00C91DE3" w:rsidRDefault="00C91DE3" w:rsidP="00C91DE3">
      <w:pPr>
        <w:ind w:firstLine="0"/>
        <w:jc w:val="center"/>
      </w:pP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91DE3" w:rsidTr="00C91DE3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91DE3" w:rsidTr="00C91DE3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91DE3" w:rsidTr="00C91DE3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C91DE3" w:rsidRDefault="00C91DE3" w:rsidP="00C91DE3">
      <w:pPr>
        <w:ind w:firstLine="426"/>
        <w:rPr>
          <w:b/>
          <w:sz w:val="28"/>
          <w:szCs w:val="28"/>
        </w:rPr>
      </w:pP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задачи,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проведения текущего контроля </w:t>
      </w:r>
      <w:r>
        <w:rPr>
          <w:b/>
          <w:sz w:val="28"/>
          <w:szCs w:val="28"/>
        </w:rPr>
        <w:lastRenderedPageBreak/>
        <w:t>успеваемости и промежуточной аттестации обучающихся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к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Знание современные экспериментальные и теоретические методы исследования в области биотехнологии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проводить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Знание 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 xml:space="preserve">Умение использовать современные методы и технологии </w:t>
            </w:r>
            <w:r>
              <w:lastRenderedPageBreak/>
              <w:t>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7.2.2. Описание шкал оценивания степени сформированности элементов компетенций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91DE3" w:rsidTr="00C91DE3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C91DE3" w:rsidTr="00C91DE3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91DE3" w:rsidTr="00C91DE3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91DE3" w:rsidTr="00C91DE3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 не зачтено)</w:t>
            </w:r>
          </w:p>
          <w:p w:rsidR="00C91DE3" w:rsidRDefault="00C91DE3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91DE3" w:rsidRDefault="00C91DE3" w:rsidP="00C91DE3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91DE3" w:rsidRDefault="00C91DE3" w:rsidP="00C91DE3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91DE3" w:rsidRDefault="00C91DE3" w:rsidP="00C91DE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91DE3" w:rsidRDefault="00265C9E" w:rsidP="00C91DE3">
      <w:pPr>
        <w:widowControl/>
        <w:ind w:firstLine="720"/>
        <w:rPr>
          <w:sz w:val="28"/>
          <w:szCs w:val="28"/>
        </w:rPr>
      </w:pPr>
      <w:hyperlink r:id="rId40" w:history="1">
        <w:r w:rsidR="00C91DE3">
          <w:rPr>
            <w:rStyle w:val="a6"/>
            <w:sz w:val="28"/>
            <w:szCs w:val="28"/>
          </w:rPr>
          <w:t>http://protect.gost.ru/document.aspx?control=7&amp;id=130946</w:t>
        </w:r>
      </w:hyperlink>
      <w:r w:rsidR="00C91DE3">
        <w:rPr>
          <w:sz w:val="28"/>
          <w:szCs w:val="28"/>
        </w:rPr>
        <w:t xml:space="preserve">.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91DE3" w:rsidRDefault="00265C9E" w:rsidP="00C91DE3">
      <w:pPr>
        <w:widowControl/>
        <w:ind w:firstLine="720"/>
        <w:rPr>
          <w:sz w:val="28"/>
          <w:szCs w:val="28"/>
        </w:rPr>
      </w:pPr>
      <w:hyperlink r:id="rId41" w:history="1">
        <w:r w:rsidR="00C91DE3">
          <w:rPr>
            <w:rStyle w:val="a6"/>
            <w:sz w:val="28"/>
            <w:szCs w:val="28"/>
          </w:rPr>
          <w:t>http://protect.gost.ru/document.aspx?control=7&amp;id=179727</w:t>
        </w:r>
      </w:hyperlink>
      <w:r w:rsidR="00C91DE3">
        <w:rPr>
          <w:sz w:val="28"/>
          <w:szCs w:val="28"/>
        </w:rPr>
        <w:t xml:space="preserve">. </w:t>
      </w:r>
    </w:p>
    <w:p w:rsidR="00C91DE3" w:rsidRDefault="00C91DE3" w:rsidP="00C91DE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91DE3" w:rsidRDefault="00265C9E" w:rsidP="00C91DE3">
      <w:pPr>
        <w:widowControl/>
        <w:ind w:firstLine="720"/>
        <w:rPr>
          <w:sz w:val="28"/>
          <w:szCs w:val="28"/>
        </w:rPr>
      </w:pPr>
      <w:hyperlink r:id="rId42" w:history="1">
        <w:r w:rsidR="00C91DE3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C91DE3">
        <w:rPr>
          <w:sz w:val="28"/>
          <w:szCs w:val="28"/>
          <w:lang w:eastAsia="en-US"/>
        </w:rPr>
        <w:t>.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WEB of Science, WOS </w:t>
      </w:r>
      <w:hyperlink r:id="rId43" w:tgtFrame="_blank" w:history="1">
        <w:r>
          <w:rPr>
            <w:rStyle w:val="a6"/>
            <w:sz w:val="28"/>
            <w:szCs w:val="28"/>
            <w:lang w:val="en-US"/>
          </w:rPr>
          <w:t>http://www.chemweb.com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РФФИ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library</w:t>
      </w:r>
      <w:r w:rsidRPr="00C91DE3">
        <w:rPr>
          <w:sz w:val="28"/>
          <w:szCs w:val="28"/>
        </w:rPr>
        <w:t xml:space="preserve"> </w:t>
      </w:r>
      <w:hyperlink r:id="rId44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  <w:hyperlink r:id="rId45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Scirus </w:t>
      </w:r>
      <w:hyperlink r:id="rId46" w:tgtFrame="_blank" w:history="1">
        <w:r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Sciencedirect </w:t>
      </w:r>
      <w:hyperlink r:id="rId47" w:tgtFrame="_blank" w:history="1">
        <w:r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PubMed, PubMedCentral, Biomedcentral </w:t>
      </w:r>
      <w:hyperlink r:id="rId48" w:tgtFrame="_blank" w:history="1">
        <w:r>
          <w:rPr>
            <w:rStyle w:val="a6"/>
            <w:sz w:val="28"/>
            <w:szCs w:val="28"/>
            <w:lang w:val="en-US"/>
          </w:rPr>
          <w:t>http://www.ncbi.nlm.nih.gov</w:t>
        </w:r>
      </w:hyperlink>
      <w:r>
        <w:rPr>
          <w:sz w:val="28"/>
          <w:szCs w:val="28"/>
          <w:lang w:val="en-US"/>
        </w:rPr>
        <w:t xml:space="preserve"> </w:t>
      </w:r>
      <w:hyperlink r:id="rId49" w:tgtFrame="_blank" w:history="1">
        <w:r>
          <w:rPr>
            <w:rStyle w:val="a6"/>
            <w:sz w:val="28"/>
            <w:szCs w:val="28"/>
            <w:lang w:val="en-US"/>
          </w:rPr>
          <w:t>http://www.pubmedcentral.nih.gov</w:t>
        </w:r>
      </w:hyperlink>
      <w:r>
        <w:rPr>
          <w:sz w:val="28"/>
          <w:szCs w:val="28"/>
          <w:lang w:val="en-US"/>
        </w:rPr>
        <w:t xml:space="preserve"> </w:t>
      </w:r>
      <w:hyperlink r:id="rId50" w:tgtFrame="_blank" w:history="1">
        <w:r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CAS </w:t>
      </w:r>
      <w:hyperlink r:id="rId51" w:tgtFrame="_blank" w:history="1">
        <w:r>
          <w:rPr>
            <w:rStyle w:val="a6"/>
            <w:sz w:val="28"/>
            <w:szCs w:val="28"/>
            <w:lang w:val="en-US"/>
          </w:rPr>
          <w:t>http://www.cas.org</w:t>
        </w:r>
      </w:hyperlink>
      <w:r>
        <w:rPr>
          <w:sz w:val="28"/>
          <w:szCs w:val="28"/>
          <w:lang w:val="en-US"/>
        </w:rPr>
        <w:t xml:space="preserve"> </w:t>
      </w:r>
      <w:hyperlink r:id="rId52" w:tgtFrame="_blank" w:history="1">
        <w:r>
          <w:rPr>
            <w:rStyle w:val="a6"/>
            <w:sz w:val="28"/>
            <w:szCs w:val="28"/>
            <w:lang w:val="en-US"/>
          </w:rPr>
          <w:t>http://www.chemport.org</w:t>
        </w:r>
      </w:hyperlink>
      <w:r>
        <w:rPr>
          <w:sz w:val="28"/>
          <w:szCs w:val="28"/>
          <w:lang w:val="en-US"/>
        </w:rPr>
        <w:t xml:space="preserve"> </w:t>
      </w:r>
      <w:hyperlink r:id="rId53" w:tgtFrame="_blank" w:history="1">
        <w:r>
          <w:rPr>
            <w:rStyle w:val="a6"/>
            <w:sz w:val="28"/>
            <w:szCs w:val="28"/>
            <w:lang w:val="en-US"/>
          </w:rPr>
          <w:t>http://www.chemistry.org</w:t>
        </w:r>
      </w:hyperlink>
      <w:r>
        <w:rPr>
          <w:sz w:val="28"/>
          <w:szCs w:val="28"/>
          <w:lang w:val="en-US"/>
        </w:rPr>
        <w:t xml:space="preserve"> </w:t>
      </w:r>
      <w:hyperlink r:id="rId54" w:tgtFrame="_blank" w:history="1">
        <w:r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CiteXplore </w:t>
      </w:r>
      <w:hyperlink r:id="rId55" w:tgtFrame="_blank" w:history="1">
        <w:r>
          <w:rPr>
            <w:rStyle w:val="a6"/>
            <w:sz w:val="28"/>
            <w:szCs w:val="28"/>
            <w:lang w:val="en-US"/>
          </w:rPr>
          <w:t>http://www.ebi.ac.uk/citexplore</w:t>
        </w:r>
      </w:hyperlink>
      <w:r>
        <w:rPr>
          <w:sz w:val="28"/>
          <w:szCs w:val="28"/>
          <w:lang w:val="en-US"/>
        </w:rPr>
        <w:t xml:space="preserve"> </w:t>
      </w:r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CSA </w:t>
      </w:r>
      <w:hyperlink r:id="rId56" w:tgtFrame="_blank" w:history="1">
        <w:r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C91DE3" w:rsidRDefault="00C91DE3" w:rsidP="00C91DE3">
      <w:pPr>
        <w:numPr>
          <w:ilvl w:val="0"/>
          <w:numId w:val="7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http://www.biotechnolog.ru/</w:t>
      </w:r>
    </w:p>
    <w:p w:rsidR="00C91DE3" w:rsidRDefault="00265C9E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57" w:history="1">
        <w:r w:rsidR="00C91DE3">
          <w:rPr>
            <w:rStyle w:val="a6"/>
            <w:sz w:val="28"/>
            <w:szCs w:val="28"/>
          </w:rPr>
          <w:t>http://window.edu.ru/</w:t>
        </w:r>
      </w:hyperlink>
    </w:p>
    <w:p w:rsidR="00C91DE3" w:rsidRDefault="00C91DE3" w:rsidP="00C91DE3">
      <w:pPr>
        <w:pStyle w:val="af5"/>
        <w:ind w:left="0"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91DE3" w:rsidRDefault="00C91DE3" w:rsidP="00C91DE3">
      <w:pPr>
        <w:pStyle w:val="af5"/>
        <w:widowControl/>
        <w:numPr>
          <w:ilvl w:val="0"/>
          <w:numId w:val="10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91DE3" w:rsidRDefault="00C91DE3" w:rsidP="00C91DE3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06.06.01 «</w:t>
      </w:r>
      <w:r>
        <w:rPr>
          <w:bCs/>
          <w:sz w:val="28"/>
          <w:szCs w:val="28"/>
        </w:rPr>
        <w:t>Биологические науки</w:t>
      </w:r>
      <w:r>
        <w:rPr>
          <w:sz w:val="28"/>
          <w:szCs w:val="28"/>
        </w:rPr>
        <w:t>» с научной специальностью 1.5.6 «Биотехнология».</w:t>
      </w:r>
    </w:p>
    <w:p w:rsidR="00FD21D4" w:rsidRDefault="00FD21D4" w:rsidP="00081A59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5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9E" w:rsidRDefault="00265C9E" w:rsidP="00E76C7A">
      <w:r>
        <w:separator/>
      </w:r>
    </w:p>
  </w:endnote>
  <w:endnote w:type="continuationSeparator" w:id="0">
    <w:p w:rsidR="00265C9E" w:rsidRDefault="00265C9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9E" w:rsidRDefault="00265C9E" w:rsidP="00E76C7A">
      <w:r>
        <w:separator/>
      </w:r>
    </w:p>
  </w:footnote>
  <w:footnote w:type="continuationSeparator" w:id="0">
    <w:p w:rsidR="00265C9E" w:rsidRDefault="00265C9E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23" w:rsidRPr="00675078" w:rsidRDefault="00084723" w:rsidP="0008472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9487E"/>
    <w:multiLevelType w:val="hybridMultilevel"/>
    <w:tmpl w:val="C4C41510"/>
    <w:lvl w:ilvl="0" w:tplc="6A1889F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53D5686F"/>
    <w:multiLevelType w:val="hybridMultilevel"/>
    <w:tmpl w:val="82F6B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1A59"/>
    <w:rsid w:val="00082480"/>
    <w:rsid w:val="00082502"/>
    <w:rsid w:val="00083754"/>
    <w:rsid w:val="00084723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3E1F"/>
    <w:rsid w:val="000D5DF8"/>
    <w:rsid w:val="000D699F"/>
    <w:rsid w:val="000D6C77"/>
    <w:rsid w:val="000E5A61"/>
    <w:rsid w:val="000E7739"/>
    <w:rsid w:val="000F0D2C"/>
    <w:rsid w:val="000F1783"/>
    <w:rsid w:val="0010319B"/>
    <w:rsid w:val="001066F6"/>
    <w:rsid w:val="001128E4"/>
    <w:rsid w:val="001147F9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960"/>
    <w:rsid w:val="00246A8D"/>
    <w:rsid w:val="00250822"/>
    <w:rsid w:val="0026095E"/>
    <w:rsid w:val="00264F60"/>
    <w:rsid w:val="002659DB"/>
    <w:rsid w:val="00265C9E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3C9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4C37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203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BF39E5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1DE3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5D4B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2FDB"/>
    <w:rsid w:val="00F3463B"/>
    <w:rsid w:val="00F3482A"/>
    <w:rsid w:val="00F357E0"/>
    <w:rsid w:val="00F4003A"/>
    <w:rsid w:val="00F41B44"/>
    <w:rsid w:val="00F42909"/>
    <w:rsid w:val="00F5384B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84723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uiPriority w:val="20"/>
    <w:qFormat/>
    <w:rsid w:val="00742039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afa">
    <w:name w:val="РИО_текст_литература_сп"/>
    <w:qFormat/>
    <w:rsid w:val="00C91DE3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C91DE3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C91DE3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C91DE3"/>
    <w:rPr>
      <w:sz w:val="24"/>
      <w:szCs w:val="24"/>
    </w:rPr>
  </w:style>
  <w:style w:type="character" w:customStyle="1" w:styleId="afb">
    <w:name w:val="Основной текст_"/>
    <w:link w:val="13"/>
    <w:locked/>
    <w:rsid w:val="00C91DE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b"/>
    <w:rsid w:val="00C91DE3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C91DE3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C91DE3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C91D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/" TargetMode="External"/><Relationship Id="rId18" Type="http://schemas.openxmlformats.org/officeDocument/2006/relationships/hyperlink" Target="http://www.chemport.org/" TargetMode="External"/><Relationship Id="rId26" Type="http://schemas.openxmlformats.org/officeDocument/2006/relationships/hyperlink" Target="http://elibrary.ru/" TargetMode="External"/><Relationship Id="rId39" Type="http://schemas.openxmlformats.org/officeDocument/2006/relationships/hyperlink" Target="http://window.edu.ru/" TargetMode="External"/><Relationship Id="rId21" Type="http://schemas.openxmlformats.org/officeDocument/2006/relationships/hyperlink" Target="http://www.ebi.ac.uk/citexplore" TargetMode="External"/><Relationship Id="rId34" Type="http://schemas.openxmlformats.org/officeDocument/2006/relationships/hyperlink" Target="http://www.chemport.org/" TargetMode="External"/><Relationship Id="rId42" Type="http://schemas.openxmlformats.org/officeDocument/2006/relationships/hyperlink" Target="http://protect.gost.ru/document.aspx?control=7&amp;id=179727" TargetMode="External"/><Relationship Id="rId47" Type="http://schemas.openxmlformats.org/officeDocument/2006/relationships/hyperlink" Target="http://www.sciencedirect.com/" TargetMode="External"/><Relationship Id="rId50" Type="http://schemas.openxmlformats.org/officeDocument/2006/relationships/hyperlink" Target="http://www.biomedcentral.com/" TargetMode="External"/><Relationship Id="rId55" Type="http://schemas.openxmlformats.org/officeDocument/2006/relationships/hyperlink" Target="http://www.ebi.ac.uk/citexplor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iomedcentral.com/" TargetMode="External"/><Relationship Id="rId29" Type="http://schemas.openxmlformats.org/officeDocument/2006/relationships/hyperlink" Target="http://www.sciencedirect.com/" TargetMode="External"/><Relationship Id="rId11" Type="http://schemas.openxmlformats.org/officeDocument/2006/relationships/hyperlink" Target="http://e-library.ru/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www.biomedcentral.com/" TargetMode="External"/><Relationship Id="rId37" Type="http://schemas.openxmlformats.org/officeDocument/2006/relationships/hyperlink" Target="http://www.ebi.ac.uk/citexplore" TargetMode="External"/><Relationship Id="rId40" Type="http://schemas.openxmlformats.org/officeDocument/2006/relationships/hyperlink" Target="http://protect.gost.ru/document.aspx?control=7&amp;id=130946" TargetMode="External"/><Relationship Id="rId45" Type="http://schemas.openxmlformats.org/officeDocument/2006/relationships/hyperlink" Target="http://e-library.ru/" TargetMode="External"/><Relationship Id="rId53" Type="http://schemas.openxmlformats.org/officeDocument/2006/relationships/hyperlink" Target="http://www.chemistry.org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http://www.chemistr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web.com/" TargetMode="External"/><Relationship Id="rId14" Type="http://schemas.openxmlformats.org/officeDocument/2006/relationships/hyperlink" Target="http://www.ncbi.nlm.nih.gov/" TargetMode="External"/><Relationship Id="rId22" Type="http://schemas.openxmlformats.org/officeDocument/2006/relationships/hyperlink" Target="http://www.csa.com/" TargetMode="External"/><Relationship Id="rId27" Type="http://schemas.openxmlformats.org/officeDocument/2006/relationships/hyperlink" Target="http://e-library.ru/" TargetMode="External"/><Relationship Id="rId30" Type="http://schemas.openxmlformats.org/officeDocument/2006/relationships/hyperlink" Target="http://www.ncbi.nlm.nih.gov/" TargetMode="External"/><Relationship Id="rId35" Type="http://schemas.openxmlformats.org/officeDocument/2006/relationships/hyperlink" Target="http://www.chemistry.org/" TargetMode="External"/><Relationship Id="rId43" Type="http://schemas.openxmlformats.org/officeDocument/2006/relationships/hyperlink" Target="http://www.chemweb.com/" TargetMode="External"/><Relationship Id="rId48" Type="http://schemas.openxmlformats.org/officeDocument/2006/relationships/hyperlink" Target="http://www.ncbi.nlm.nih.gov/" TargetMode="External"/><Relationship Id="rId56" Type="http://schemas.openxmlformats.org/officeDocument/2006/relationships/hyperlink" Target="http://www.csa.com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cas.org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irus.com/" TargetMode="External"/><Relationship Id="rId17" Type="http://schemas.openxmlformats.org/officeDocument/2006/relationships/hyperlink" Target="http://www.cas.org/" TargetMode="External"/><Relationship Id="rId25" Type="http://schemas.openxmlformats.org/officeDocument/2006/relationships/hyperlink" Target="http://www.chemweb.com/" TargetMode="External"/><Relationship Id="rId33" Type="http://schemas.openxmlformats.org/officeDocument/2006/relationships/hyperlink" Target="http://www.cas.org/" TargetMode="External"/><Relationship Id="rId38" Type="http://schemas.openxmlformats.org/officeDocument/2006/relationships/hyperlink" Target="http://www.csa.com/" TargetMode="External"/><Relationship Id="rId46" Type="http://schemas.openxmlformats.org/officeDocument/2006/relationships/hyperlink" Target="http://www.scirus.com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pubs.acs.org/" TargetMode="External"/><Relationship Id="rId41" Type="http://schemas.openxmlformats.org/officeDocument/2006/relationships/hyperlink" Target="http://protect.gost.ru/document.aspx?control=7&amp;id=179727" TargetMode="External"/><Relationship Id="rId54" Type="http://schemas.openxmlformats.org/officeDocument/2006/relationships/hyperlink" Target="http://www.pubs.ac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ubmedcentral.nih.gov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scirus.com/" TargetMode="External"/><Relationship Id="rId36" Type="http://schemas.openxmlformats.org/officeDocument/2006/relationships/hyperlink" Target="http://www.pubs.acs.org/" TargetMode="External"/><Relationship Id="rId49" Type="http://schemas.openxmlformats.org/officeDocument/2006/relationships/hyperlink" Target="http://www.pubmedcentral.nih.gov/" TargetMode="External"/><Relationship Id="rId57" Type="http://schemas.openxmlformats.org/officeDocument/2006/relationships/hyperlink" Target="http://window.edu.ru/" TargetMode="External"/><Relationship Id="rId10" Type="http://schemas.openxmlformats.org/officeDocument/2006/relationships/hyperlink" Target="http://elibrary.ru/" TargetMode="External"/><Relationship Id="rId31" Type="http://schemas.openxmlformats.org/officeDocument/2006/relationships/hyperlink" Target="http://www.pubmedcentral.nih.gov/" TargetMode="External"/><Relationship Id="rId44" Type="http://schemas.openxmlformats.org/officeDocument/2006/relationships/hyperlink" Target="http://elibrary.ru/" TargetMode="External"/><Relationship Id="rId52" Type="http://schemas.openxmlformats.org/officeDocument/2006/relationships/hyperlink" Target="http://www.chemport.org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62AA8-CEB5-4813-B406-348A8938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10416</Words>
  <Characters>59377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2018-03-20T11:59:00Z</cp:lastPrinted>
  <dcterms:created xsi:type="dcterms:W3CDTF">2021-12-16T18:47:00Z</dcterms:created>
  <dcterms:modified xsi:type="dcterms:W3CDTF">2021-12-16T18:47:00Z</dcterms:modified>
</cp:coreProperties>
</file>