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A3" w:rsidRDefault="009C20A3" w:rsidP="009C20A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7A1FA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C20A3" w:rsidRDefault="007A1FA9" w:rsidP="009C20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C20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1.4.9</w:t>
      </w:r>
      <w:r w:rsidR="009C20A3">
        <w:rPr>
          <w:b/>
          <w:sz w:val="36"/>
          <w:szCs w:val="36"/>
        </w:rPr>
        <w:t xml:space="preserve"> «Биоорганическая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7A1FA9">
        <w:rPr>
          <w:szCs w:val="28"/>
        </w:rPr>
        <w:t>П</w:t>
      </w:r>
      <w:r w:rsidR="00971B99" w:rsidRPr="007A1FA9">
        <w:rPr>
          <w:szCs w:val="28"/>
        </w:rPr>
        <w:t>рограмма</w:t>
      </w:r>
      <w:r w:rsidR="009E5293" w:rsidRPr="007A1FA9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7A1FA9" w:rsidRPr="007A1FA9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7A1FA9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</w:t>
      </w:r>
      <w:bookmarkStart w:id="14" w:name="_GoBack"/>
      <w:bookmarkEnd w:id="14"/>
      <w:r w:rsidRPr="00572D24">
        <w:rPr>
          <w:sz w:val="28"/>
          <w:szCs w:val="28"/>
        </w:rPr>
        <w:t>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802F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2802F5">
        <w:rPr>
          <w:sz w:val="28"/>
          <w:szCs w:val="28"/>
        </w:rPr>
        <w:t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веществ</w:t>
      </w:r>
      <w:r w:rsidR="0086653C" w:rsidRPr="002802F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04" w:rsidRPr="008B2971" w:rsidRDefault="00CB010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B0104" w:rsidRPr="008B2971" w:rsidRDefault="00CB010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04" w:rsidRPr="008B2971" w:rsidRDefault="00CB010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B0104" w:rsidRPr="008B2971" w:rsidRDefault="00CB010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7A1FA9" w:rsidRDefault="007172E0" w:rsidP="007A1FA9">
        <w:pPr>
          <w:pStyle w:val="af3"/>
          <w:ind w:firstLine="0"/>
          <w:jc w:val="center"/>
          <w:rPr>
            <w:sz w:val="20"/>
            <w:szCs w:val="20"/>
          </w:rPr>
        </w:pPr>
        <w:r w:rsidRPr="007A1FA9">
          <w:rPr>
            <w:sz w:val="20"/>
            <w:szCs w:val="20"/>
          </w:rPr>
          <w:fldChar w:fldCharType="begin"/>
        </w:r>
        <w:r w:rsidRPr="007A1FA9">
          <w:rPr>
            <w:sz w:val="20"/>
            <w:szCs w:val="20"/>
          </w:rPr>
          <w:instrText xml:space="preserve"> PAGE   \* MERGEFORMAT </w:instrText>
        </w:r>
        <w:r w:rsidRPr="007A1FA9">
          <w:rPr>
            <w:sz w:val="20"/>
            <w:szCs w:val="20"/>
          </w:rPr>
          <w:fldChar w:fldCharType="separate"/>
        </w:r>
        <w:r w:rsidR="007A1FA9">
          <w:rPr>
            <w:noProof/>
            <w:sz w:val="20"/>
            <w:szCs w:val="20"/>
          </w:rPr>
          <w:t>4</w:t>
        </w:r>
        <w:r w:rsidRPr="007A1FA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1FA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41E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20A3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104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F3908"/>
  <w15:docId w15:val="{BF3833EE-973F-40A8-A23D-2F84340C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CF950-7644-419A-85C9-72A2D9A4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2017-03-29T08:28:00Z</cp:lastPrinted>
  <dcterms:created xsi:type="dcterms:W3CDTF">2021-12-10T17:54:00Z</dcterms:created>
  <dcterms:modified xsi:type="dcterms:W3CDTF">2021-12-10T17:54:00Z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