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4A3903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96A3EEB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4A390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4A390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4A3903" w:rsidP="00734DA7">
      <w:pPr>
        <w:widowControl/>
        <w:ind w:firstLine="0"/>
        <w:jc w:val="center"/>
      </w:pPr>
      <w:r>
        <w:t>Научная специальность</w:t>
      </w:r>
    </w:p>
    <w:p w:rsidR="00566281" w:rsidRPr="00234DA3" w:rsidRDefault="004A3903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1.4.7</w:t>
      </w:r>
      <w:r w:rsidR="009119C0">
        <w:rPr>
          <w:b/>
          <w:bCs/>
        </w:rPr>
        <w:t xml:space="preserve"> «Высокомолекулярные соединения</w:t>
      </w:r>
      <w:r w:rsidR="00234DA3" w:rsidRPr="00234DA3">
        <w:rPr>
          <w:rFonts w:eastAsia="HiddenHorzOCR"/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4A3903" w:rsidRPr="00C806A2" w:rsidRDefault="004A3903" w:rsidP="00734DA7">
      <w:pPr>
        <w:widowControl/>
        <w:ind w:firstLine="0"/>
        <w:jc w:val="center"/>
      </w:pPr>
    </w:p>
    <w:p w:rsidR="00C56891" w:rsidRPr="004A3903" w:rsidRDefault="004A3903" w:rsidP="004A390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4A3903">
        <w:rPr>
          <w:sz w:val="28"/>
          <w:szCs w:val="28"/>
        </w:rPr>
        <w:t>научной специальности 1.4.7</w:t>
      </w:r>
      <w:r w:rsidR="009119C0">
        <w:rPr>
          <w:sz w:val="28"/>
          <w:szCs w:val="28"/>
        </w:rPr>
        <w:t xml:space="preserve"> «Высокомолекулярные соединения»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4A390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4A3903">
        <w:rPr>
          <w:sz w:val="28"/>
          <w:szCs w:val="28"/>
        </w:rPr>
        <w:t>1.4.7</w:t>
      </w:r>
      <w:r w:rsidR="009119C0">
        <w:rPr>
          <w:sz w:val="28"/>
          <w:szCs w:val="28"/>
        </w:rPr>
        <w:t xml:space="preserve"> «Высокомолекулярные соединения»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9119C0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C0" w:rsidRDefault="009119C0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организации и проведению фундаментальных и прикладных научных исследований в области химии мономеров и полимеров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C0" w:rsidRDefault="009119C0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химии высокомолекулярных соединений в соответствии с паспортом научной специальности </w:t>
            </w:r>
            <w:r w:rsidR="004A3903">
              <w:t>1.4.7</w:t>
            </w:r>
            <w:r>
              <w:t xml:space="preserve"> Высокомолекулярные соединения; молекулярную физику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размеры и формы макромолекул, молекулярно-массовое распределение полимеров; химические превращения полимеров; физические состояния и фазовые пере</w:t>
            </w:r>
            <w:r>
              <w:lastRenderedPageBreak/>
              <w:t>ходы в высокомолекулярных соединениях. Реологию полимеров и композитов</w:t>
            </w:r>
          </w:p>
        </w:tc>
      </w:tr>
      <w:tr w:rsidR="009119C0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C0" w:rsidRDefault="009119C0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C0" w:rsidRDefault="009119C0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</w:tr>
      <w:tr w:rsidR="009119C0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C0" w:rsidRDefault="009119C0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C0" w:rsidRDefault="009119C0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 xml:space="preserve">Устное собеседование; выполнение </w:t>
            </w:r>
            <w:r w:rsidRPr="00F54E61">
              <w:lastRenderedPageBreak/>
              <w:t>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4A390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4A3903">
        <w:rPr>
          <w:sz w:val="28"/>
          <w:szCs w:val="28"/>
        </w:rPr>
        <w:t>1.4.7</w:t>
      </w:r>
      <w:r w:rsidR="009119C0">
        <w:rPr>
          <w:sz w:val="28"/>
          <w:szCs w:val="28"/>
        </w:rPr>
        <w:t xml:space="preserve"> «Высокомолекулярные соединения»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</w:t>
      </w:r>
      <w:r w:rsidRPr="00E65C9E">
        <w:rPr>
          <w:sz w:val="28"/>
          <w:szCs w:val="28"/>
        </w:rPr>
        <w:lastRenderedPageBreak/>
        <w:t>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4A390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4A3903">
        <w:rPr>
          <w:sz w:val="28"/>
          <w:szCs w:val="28"/>
        </w:rPr>
        <w:t>1.4.7</w:t>
      </w:r>
      <w:r w:rsidR="009119C0">
        <w:rPr>
          <w:sz w:val="28"/>
          <w:szCs w:val="28"/>
        </w:rPr>
        <w:t xml:space="preserve"> «Высокомолекулярные соединения»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4A3903">
        <w:rPr>
          <w:sz w:val="28"/>
          <w:szCs w:val="28"/>
        </w:rPr>
        <w:t xml:space="preserve">научная </w:t>
      </w:r>
      <w:proofErr w:type="spellStart"/>
      <w:r w:rsidR="004A390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 w:rsidRPr="007F020E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7F020E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4A3903" w:rsidRPr="007F020E" w:rsidTr="007F020E">
        <w:trPr>
          <w:trHeight w:val="20"/>
        </w:trPr>
        <w:tc>
          <w:tcPr>
            <w:tcW w:w="1668" w:type="dxa"/>
          </w:tcPr>
          <w:p w:rsidR="004A3903" w:rsidRPr="007F020E" w:rsidRDefault="004A3903" w:rsidP="004A390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4A3903" w:rsidRPr="007F020E" w:rsidRDefault="004A3903" w:rsidP="004A3903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A3903" w:rsidRPr="007F020E" w:rsidRDefault="004A3903" w:rsidP="004A390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A3903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4A3903" w:rsidRPr="007F020E" w:rsidRDefault="004A3903" w:rsidP="004A3903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4A3903" w:rsidRPr="007F020E" w:rsidTr="007F020E">
        <w:trPr>
          <w:trHeight w:val="20"/>
        </w:trPr>
        <w:tc>
          <w:tcPr>
            <w:tcW w:w="1668" w:type="dxa"/>
          </w:tcPr>
          <w:p w:rsidR="004A3903" w:rsidRPr="007F020E" w:rsidRDefault="004A3903" w:rsidP="004A390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4A3903" w:rsidRPr="007F020E" w:rsidRDefault="004A3903" w:rsidP="004A390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A3903" w:rsidRPr="007F020E" w:rsidRDefault="004A3903" w:rsidP="004A3903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A3903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4A3903" w:rsidRPr="007F020E" w:rsidRDefault="004A3903" w:rsidP="004A390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4A3903" w:rsidRPr="007F020E" w:rsidTr="007F020E">
        <w:trPr>
          <w:trHeight w:val="20"/>
        </w:trPr>
        <w:tc>
          <w:tcPr>
            <w:tcW w:w="1668" w:type="dxa"/>
          </w:tcPr>
          <w:p w:rsidR="004A3903" w:rsidRPr="007F020E" w:rsidRDefault="004A3903" w:rsidP="004A390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4A3903" w:rsidRPr="007F020E" w:rsidRDefault="004A3903" w:rsidP="004A390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A3903" w:rsidRPr="007F020E" w:rsidRDefault="004A3903" w:rsidP="004A390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A3903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4A3903" w:rsidRPr="007F020E" w:rsidRDefault="004A3903" w:rsidP="004A390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D2694" w:rsidRPr="007F020E" w:rsidTr="007F020E">
        <w:trPr>
          <w:trHeight w:val="20"/>
        </w:trPr>
        <w:tc>
          <w:tcPr>
            <w:tcW w:w="1668" w:type="dxa"/>
          </w:tcPr>
          <w:p w:rsidR="007D2694" w:rsidRPr="007F020E" w:rsidRDefault="007D2694" w:rsidP="007D2694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7D2694" w:rsidRPr="007F020E" w:rsidRDefault="007D2694" w:rsidP="007D2694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7D2694" w:rsidRPr="007F020E" w:rsidRDefault="007D2694" w:rsidP="007D2694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D2694" w:rsidRDefault="007D2694" w:rsidP="007D269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9C0" w:rsidRPr="007F020E" w:rsidTr="007F020E">
        <w:trPr>
          <w:trHeight w:val="20"/>
        </w:trPr>
        <w:tc>
          <w:tcPr>
            <w:tcW w:w="1668" w:type="dxa"/>
          </w:tcPr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119C0" w:rsidRDefault="009119C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химии высокомолекулярных соединений в соответствии с паспортом научной специальности </w:t>
            </w:r>
            <w:r w:rsidR="004A3903">
              <w:t>1.4.7</w:t>
            </w:r>
            <w:r>
              <w:t xml:space="preserve"> Высокомолекулярных соединений; молекулярной физики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размеров и формы макромолекул, молекулярно-массового распределения полимеров; химических превращений полимеров; физического состояния и фазовых переходов в высокомолекулярных соединениях. Реологии полимеров и композитов</w:t>
            </w:r>
          </w:p>
        </w:tc>
        <w:tc>
          <w:tcPr>
            <w:tcW w:w="1701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9C0" w:rsidRPr="007F020E" w:rsidRDefault="009119C0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9119C0" w:rsidRPr="007F020E" w:rsidRDefault="009119C0" w:rsidP="007F020E">
            <w:pPr>
              <w:contextualSpacing/>
              <w:rPr>
                <w:kern w:val="24"/>
              </w:rPr>
            </w:pPr>
          </w:p>
        </w:tc>
      </w:tr>
      <w:tr w:rsidR="009119C0" w:rsidRPr="007F020E" w:rsidTr="007F020E">
        <w:trPr>
          <w:trHeight w:val="20"/>
        </w:trPr>
        <w:tc>
          <w:tcPr>
            <w:tcW w:w="1668" w:type="dxa"/>
          </w:tcPr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119C0" w:rsidRDefault="009119C0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  <w:tc>
          <w:tcPr>
            <w:tcW w:w="1701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9C0" w:rsidRPr="007F020E" w:rsidRDefault="009119C0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119C0" w:rsidRPr="00B06A52" w:rsidTr="007F020E">
        <w:trPr>
          <w:trHeight w:val="20"/>
        </w:trPr>
        <w:tc>
          <w:tcPr>
            <w:tcW w:w="1668" w:type="dxa"/>
          </w:tcPr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119C0" w:rsidRDefault="009119C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  <w:tc>
          <w:tcPr>
            <w:tcW w:w="1701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9C0" w:rsidRDefault="009119C0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</w:t>
            </w:r>
            <w:r w:rsidRPr="002478F3">
              <w:lastRenderedPageBreak/>
              <w:t xml:space="preserve">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D2694" w:rsidRDefault="007D2694" w:rsidP="007D269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7D2694" w:rsidRDefault="007D2694" w:rsidP="007D269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7D269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D2694" w:rsidRDefault="007D2694" w:rsidP="007D269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7D269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D2694" w:rsidRDefault="007D2694" w:rsidP="007D269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7D2694" w:rsidRDefault="007D2694" w:rsidP="007D269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D2694" w:rsidRDefault="007D2694" w:rsidP="007D269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7D2694" w:rsidRDefault="007D2694" w:rsidP="007D269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D2694" w:rsidRDefault="007D2694" w:rsidP="007D269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7D269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D2694" w:rsidRDefault="007D2694" w:rsidP="007D269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7D2694" w:rsidRDefault="007D2694" w:rsidP="007D269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D2694" w:rsidRDefault="007D2694" w:rsidP="007D269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2D2FE1" w:rsidRDefault="00014FF2" w:rsidP="002D2FE1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2D2FE1">
          <w:rPr>
            <w:rStyle w:val="a7"/>
            <w:color w:val="000000"/>
            <w:sz w:val="28"/>
            <w:szCs w:val="28"/>
            <w:lang w:val="en-US"/>
          </w:rPr>
          <w:t>http</w:t>
        </w:r>
        <w:r w:rsidR="002D2FE1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2D2FE1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2D2FE1">
          <w:rPr>
            <w:rStyle w:val="a7"/>
            <w:color w:val="000000"/>
            <w:sz w:val="28"/>
            <w:szCs w:val="28"/>
          </w:rPr>
          <w:t>.</w:t>
        </w:r>
        <w:r w:rsidR="002D2FE1">
          <w:rPr>
            <w:rStyle w:val="a7"/>
            <w:color w:val="000000"/>
            <w:sz w:val="28"/>
            <w:szCs w:val="28"/>
            <w:lang w:val="en-US"/>
          </w:rPr>
          <w:t>net</w:t>
        </w:r>
        <w:r w:rsidR="002D2FE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2D2FE1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2D2FE1">
        <w:rPr>
          <w:color w:val="000000"/>
          <w:sz w:val="28"/>
          <w:szCs w:val="28"/>
        </w:rPr>
        <w:t xml:space="preserve">  Мир психологии</w:t>
      </w:r>
    </w:p>
    <w:p w:rsidR="002D2FE1" w:rsidRDefault="00014FF2" w:rsidP="002D2FE1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2D2FE1">
          <w:rPr>
            <w:rStyle w:val="a7"/>
            <w:color w:val="000000"/>
            <w:sz w:val="28"/>
            <w:szCs w:val="28"/>
            <w:lang w:val="en-US"/>
          </w:rPr>
          <w:t>http</w:t>
        </w:r>
        <w:r w:rsidR="002D2FE1">
          <w:rPr>
            <w:rStyle w:val="a7"/>
            <w:color w:val="000000"/>
            <w:sz w:val="28"/>
            <w:szCs w:val="28"/>
          </w:rPr>
          <w:t>://</w:t>
        </w:r>
        <w:r w:rsidR="002D2FE1">
          <w:rPr>
            <w:rStyle w:val="a7"/>
            <w:color w:val="000000"/>
            <w:sz w:val="28"/>
            <w:szCs w:val="28"/>
            <w:lang w:val="en-US"/>
          </w:rPr>
          <w:t>www</w:t>
        </w:r>
        <w:r w:rsidR="002D2FE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2D2FE1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2D2FE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2D2FE1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2D2FE1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2D2FE1" w:rsidRDefault="00014FF2" w:rsidP="002D2FE1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2D2FE1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2D2FE1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2D2FE1" w:rsidRDefault="002D2FE1" w:rsidP="002D2FE1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2D2FE1" w:rsidRDefault="00014FF2" w:rsidP="002D2FE1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2D2FE1">
          <w:rPr>
            <w:rStyle w:val="a7"/>
            <w:sz w:val="28"/>
            <w:szCs w:val="28"/>
            <w:lang w:val="en-US"/>
          </w:rPr>
          <w:t>http</w:t>
        </w:r>
        <w:r w:rsidR="002D2FE1">
          <w:rPr>
            <w:rStyle w:val="a7"/>
            <w:sz w:val="28"/>
            <w:szCs w:val="28"/>
          </w:rPr>
          <w:t>://</w:t>
        </w:r>
        <w:proofErr w:type="spellStart"/>
        <w:r w:rsidR="002D2FE1">
          <w:rPr>
            <w:rStyle w:val="a7"/>
            <w:sz w:val="28"/>
            <w:szCs w:val="28"/>
            <w:lang w:val="en-US"/>
          </w:rPr>
          <w:t>iph</w:t>
        </w:r>
        <w:proofErr w:type="spellEnd"/>
        <w:r w:rsidR="002D2FE1">
          <w:rPr>
            <w:rStyle w:val="a7"/>
            <w:sz w:val="28"/>
            <w:szCs w:val="28"/>
          </w:rPr>
          <w:t>.</w:t>
        </w:r>
        <w:proofErr w:type="spellStart"/>
        <w:r w:rsidR="002D2FE1">
          <w:rPr>
            <w:rStyle w:val="a7"/>
            <w:sz w:val="28"/>
            <w:szCs w:val="28"/>
            <w:lang w:val="en-US"/>
          </w:rPr>
          <w:t>ras</w:t>
        </w:r>
        <w:proofErr w:type="spellEnd"/>
        <w:r w:rsidR="002D2FE1">
          <w:rPr>
            <w:rStyle w:val="a7"/>
            <w:sz w:val="28"/>
            <w:szCs w:val="28"/>
          </w:rPr>
          <w:t>.</w:t>
        </w:r>
        <w:proofErr w:type="spellStart"/>
        <w:r w:rsidR="002D2FE1">
          <w:rPr>
            <w:rStyle w:val="a7"/>
            <w:sz w:val="28"/>
            <w:szCs w:val="28"/>
            <w:lang w:val="en-US"/>
          </w:rPr>
          <w:t>ru</w:t>
        </w:r>
        <w:proofErr w:type="spellEnd"/>
        <w:r w:rsidR="002D2FE1">
          <w:rPr>
            <w:rStyle w:val="a7"/>
            <w:sz w:val="28"/>
            <w:szCs w:val="28"/>
          </w:rPr>
          <w:t>/</w:t>
        </w:r>
        <w:proofErr w:type="spellStart"/>
        <w:r w:rsidR="002D2FE1">
          <w:rPr>
            <w:rStyle w:val="a7"/>
            <w:sz w:val="28"/>
            <w:szCs w:val="28"/>
            <w:lang w:val="en-US"/>
          </w:rPr>
          <w:t>enc</w:t>
        </w:r>
        <w:proofErr w:type="spellEnd"/>
        <w:r w:rsidR="002D2FE1">
          <w:rPr>
            <w:rStyle w:val="a7"/>
            <w:sz w:val="28"/>
            <w:szCs w:val="28"/>
          </w:rPr>
          <w:t>.</w:t>
        </w:r>
        <w:proofErr w:type="spellStart"/>
        <w:r w:rsidR="002D2FE1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2D2FE1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2D2FE1">
        <w:rPr>
          <w:sz w:val="28"/>
          <w:szCs w:val="28"/>
        </w:rPr>
        <w:t>4 т</w:t>
      </w:r>
      <w:proofErr w:type="gramEnd"/>
      <w:r w:rsidR="002D2FE1">
        <w:rPr>
          <w:sz w:val="28"/>
          <w:szCs w:val="28"/>
        </w:rPr>
        <w:t xml:space="preserve">. / Институт философии РАН; Нац. </w:t>
      </w:r>
      <w:proofErr w:type="spellStart"/>
      <w:r w:rsidR="002D2FE1">
        <w:rPr>
          <w:sz w:val="28"/>
          <w:szCs w:val="28"/>
        </w:rPr>
        <w:t>общест</w:t>
      </w:r>
      <w:proofErr w:type="spellEnd"/>
      <w:r w:rsidR="002D2FE1">
        <w:rPr>
          <w:sz w:val="28"/>
          <w:szCs w:val="28"/>
        </w:rPr>
        <w:t>.-</w:t>
      </w:r>
      <w:proofErr w:type="spellStart"/>
      <w:r w:rsidR="002D2FE1">
        <w:rPr>
          <w:sz w:val="28"/>
          <w:szCs w:val="28"/>
        </w:rPr>
        <w:t>научн</w:t>
      </w:r>
      <w:proofErr w:type="spellEnd"/>
      <w:r w:rsidR="002D2FE1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2D2FE1" w:rsidRDefault="00014FF2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2D2FE1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2D2FE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2D2FE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2D2FE1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2D2FE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2D2FE1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2D2FE1" w:rsidRDefault="00014FF2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2D2FE1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2D2FE1">
        <w:rPr>
          <w:rFonts w:eastAsia="Calibri"/>
          <w:b/>
          <w:sz w:val="28"/>
          <w:szCs w:val="28"/>
          <w:lang w:eastAsia="en-US"/>
        </w:rPr>
        <w:t xml:space="preserve"> </w:t>
      </w:r>
      <w:r w:rsidR="002D2FE1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2D2FE1" w:rsidRDefault="002D2FE1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2D2FE1" w:rsidRDefault="002D2FE1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D2FE1" w:rsidRDefault="002D2FE1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D2FE1" w:rsidRDefault="002D2FE1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4A390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4A3903">
        <w:rPr>
          <w:sz w:val="28"/>
          <w:szCs w:val="28"/>
        </w:rPr>
        <w:t>1.4.7</w:t>
      </w:r>
      <w:r w:rsidR="009119C0">
        <w:rPr>
          <w:sz w:val="28"/>
          <w:szCs w:val="28"/>
        </w:rPr>
        <w:t xml:space="preserve"> «Высокомолекулярные соединения»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D6" w:rsidRDefault="00267CD6" w:rsidP="00E76C7A">
      <w:r>
        <w:separator/>
      </w:r>
    </w:p>
  </w:endnote>
  <w:endnote w:type="continuationSeparator" w:id="0">
    <w:p w:rsidR="00267CD6" w:rsidRDefault="00267CD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D6" w:rsidRDefault="00267CD6" w:rsidP="00E76C7A">
      <w:r>
        <w:separator/>
      </w:r>
    </w:p>
  </w:footnote>
  <w:footnote w:type="continuationSeparator" w:id="0">
    <w:p w:rsidR="00267CD6" w:rsidRDefault="00267CD6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A3A67"/>
    <w:rsid w:val="001A5E9B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67CD6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D2FE1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903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07052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D2694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5AA4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23B1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45ED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ED1EC24-2BBB-436D-8EAB-5A892A51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FAED7-8C1E-45D0-B320-B2CA0835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5036</Words>
  <Characters>38764</Characters>
  <Application>Microsoft Office Word</Application>
  <DocSecurity>0</DocSecurity>
  <Lines>323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2021-12-14T10:07:00Z</dcterms:created>
  <dcterms:modified xsi:type="dcterms:W3CDTF">2021-12-14T10:07:00Z</dcterms:modified>
</cp:coreProperties>
</file>