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B55B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7F2781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B55B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B55B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B55B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 w:rsidR="00414BE4">
        <w:rPr>
          <w:b/>
        </w:rPr>
        <w:t xml:space="preserve"> «</w:t>
      </w:r>
      <w:r w:rsidR="007901BF">
        <w:rPr>
          <w:b/>
        </w:rPr>
        <w:t>Аналитическая</w:t>
      </w:r>
      <w:r w:rsidR="00414BE4">
        <w:rPr>
          <w:b/>
        </w:rPr>
        <w:t xml:space="preserve">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B55B2B" w:rsidP="0065774F">
      <w:pPr>
        <w:widowControl/>
        <w:ind w:firstLine="0"/>
        <w:jc w:val="center"/>
      </w:pPr>
      <w:r>
        <w:t xml:space="preserve">Москва 2021 </w:t>
      </w:r>
    </w:p>
    <w:p w:rsidR="00E8510D" w:rsidRPr="00F54916" w:rsidRDefault="00E8510D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«Аналитическая химия»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901BF" w:rsidRDefault="007901BF" w:rsidP="007901BF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901BF" w:rsidRPr="006B1630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B90AA5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</w:t>
            </w:r>
          </w:p>
          <w:p w:rsidR="007901BF" w:rsidRDefault="007901BF" w:rsidP="007901BF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ответов,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глубина понимания вопроса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D95A00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заданий,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выводов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236231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</w:t>
      </w:r>
      <w:r w:rsidRPr="003435DA">
        <w:rPr>
          <w:sz w:val="28"/>
          <w:szCs w:val="28"/>
        </w:rPr>
        <w:lastRenderedPageBreak/>
        <w:t>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B90AA5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86EF6" w:rsidRDefault="00686EF6" w:rsidP="00686EF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86EF6" w:rsidRDefault="00686EF6" w:rsidP="00B90AA5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86EF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86EF6" w:rsidRDefault="00686EF6" w:rsidP="00686EF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B90AA5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7F2781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7F2781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7F2781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7F2781" w:rsidP="00B90AA5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7F2781" w:rsidP="00B90AA5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7F2781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7F2781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7F2781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7F2781" w:rsidP="00B90AA5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7F2781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7F2781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7F2781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B55B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1.4.2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7901BF">
        <w:rPr>
          <w:sz w:val="28"/>
          <w:szCs w:val="28"/>
        </w:rPr>
        <w:t>Аналитическая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B55B2B" w:rsidRDefault="00B55B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EAD7C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B55B2B" w:rsidTr="00B55B2B">
        <w:tc>
          <w:tcPr>
            <w:tcW w:w="125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B55B2B" w:rsidRDefault="00B55B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55B2B" w:rsidRDefault="00B55B2B" w:rsidP="00B55B2B">
      <w:pPr>
        <w:widowControl/>
        <w:ind w:firstLine="0"/>
        <w:jc w:val="center"/>
        <w:rPr>
          <w:b/>
          <w:sz w:val="16"/>
          <w:szCs w:val="16"/>
        </w:rPr>
      </w:pPr>
    </w:p>
    <w:p w:rsidR="00B55B2B" w:rsidRDefault="00B55B2B" w:rsidP="00B55B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>
        <w:rPr>
          <w:b/>
        </w:rPr>
        <w:t xml:space="preserve"> «Аналитическая химия»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55B2B" w:rsidRDefault="00B55B2B" w:rsidP="00B55B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B55B2B" w:rsidTr="00B55B2B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B55B2B" w:rsidTr="00B55B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55B2B" w:rsidTr="00B55B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55B2B" w:rsidTr="00B55B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Составление и защита отчета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</w:pPr>
          </w:p>
        </w:tc>
      </w:tr>
    </w:tbl>
    <w:p w:rsidR="00B55B2B" w:rsidRDefault="00B55B2B" w:rsidP="00B55B2B">
      <w:pPr>
        <w:widowControl/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55B2B" w:rsidRDefault="00B55B2B">
            <w:pPr>
              <w:rPr>
                <w:kern w:val="24"/>
              </w:rPr>
            </w:pPr>
          </w:p>
        </w:tc>
      </w:tr>
      <w:tr w:rsidR="00B55B2B" w:rsidTr="00B55B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B55B2B" w:rsidTr="00B55B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или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</w:t>
            </w:r>
            <w:r>
              <w:lastRenderedPageBreak/>
              <w:t>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B55B2B" w:rsidRDefault="00B55B2B" w:rsidP="00B55B2B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B55B2B" w:rsidRDefault="00B55B2B" w:rsidP="00B55B2B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  <w:lang w:val="en-US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621104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55B2B" w:rsidTr="00B55B2B">
        <w:tc>
          <w:tcPr>
            <w:tcW w:w="250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1.4.2</w:t>
      </w:r>
      <w:r>
        <w:rPr>
          <w:b/>
          <w:bCs/>
        </w:rPr>
        <w:t xml:space="preserve"> «Аналитическая химия</w:t>
      </w:r>
      <w:r>
        <w:rPr>
          <w:b/>
        </w:rPr>
        <w:t>»</w:t>
      </w:r>
    </w:p>
    <w:p w:rsidR="00B55B2B" w:rsidRDefault="00B55B2B" w:rsidP="00B55B2B">
      <w:pPr>
        <w:widowControl/>
        <w:suppressAutoHyphens/>
        <w:ind w:firstLine="0"/>
        <w:jc w:val="center"/>
        <w:rPr>
          <w:b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55B2B" w:rsidRDefault="00B55B2B" w:rsidP="00B55B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567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«Аналитическая химия»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B55B2B" w:rsidRDefault="00B55B2B" w:rsidP="00B55B2B">
      <w:pPr>
        <w:ind w:left="720" w:firstLine="0"/>
        <w:contextualSpacing/>
        <w:rPr>
          <w:b/>
          <w:sz w:val="12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55B2B" w:rsidTr="00B55B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Семестры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55B2B" w:rsidRDefault="00B55B2B" w:rsidP="00B55B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55B2B" w:rsidTr="00B55B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55B2B" w:rsidRDefault="00B55B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55B2B" w:rsidTr="00B55B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55B2B" w:rsidTr="00B55B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55B2B" w:rsidRDefault="00B55B2B" w:rsidP="00B55B2B">
      <w:pPr>
        <w:ind w:firstLine="426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</w:t>
            </w:r>
          </w:p>
          <w:p w:rsidR="00B55B2B" w:rsidRDefault="00B55B2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55B2B" w:rsidTr="00B55B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55B2B" w:rsidRDefault="00B55B2B" w:rsidP="00B55B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55B2B" w:rsidRDefault="00B55B2B" w:rsidP="00B55B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55B2B" w:rsidRDefault="00B55B2B" w:rsidP="00B55B2B">
      <w:pPr>
        <w:widowControl/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ind w:left="0" w:firstLine="851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A5" w:rsidRDefault="00B90AA5" w:rsidP="00E76C7A">
      <w:r>
        <w:separator/>
      </w:r>
    </w:p>
  </w:endnote>
  <w:endnote w:type="continuationSeparator" w:id="0">
    <w:p w:rsidR="00B90AA5" w:rsidRDefault="00B90AA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A5" w:rsidRDefault="00B90AA5" w:rsidP="00E76C7A">
      <w:r>
        <w:separator/>
      </w:r>
    </w:p>
  </w:footnote>
  <w:footnote w:type="continuationSeparator" w:id="0">
    <w:p w:rsidR="00B90AA5" w:rsidRDefault="00B90AA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FB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86EF6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5B2B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AA5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D4B79E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B55B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B55B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B55B2B"/>
    <w:rPr>
      <w:sz w:val="24"/>
      <w:szCs w:val="24"/>
    </w:rPr>
  </w:style>
  <w:style w:type="character" w:customStyle="1" w:styleId="afa">
    <w:name w:val="Основной текст_"/>
    <w:link w:val="13"/>
    <w:locked/>
    <w:rsid w:val="00B55B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B55B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B55B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B55B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B55B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B1E22-C0E2-49C7-9780-8ED313FE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7982</Words>
  <Characters>64636</Characters>
  <Application>Microsoft Office Word</Application>
  <DocSecurity>0</DocSecurity>
  <Lines>538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2021-12-14T10:23:00Z</dcterms:created>
  <dcterms:modified xsi:type="dcterms:W3CDTF">2021-12-14T10:23:00Z</dcterms:modified>
</cp:coreProperties>
</file>