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1E191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1.4.1</w:t>
      </w:r>
      <w:r w:rsidR="00234DA3" w:rsidRPr="00234DA3">
        <w:rPr>
          <w:rFonts w:eastAsia="HiddenHorzOCR"/>
          <w:b/>
        </w:rPr>
        <w:t xml:space="preserve"> «Неорганическая химия»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>научной специальности 1.4.1</w:t>
      </w:r>
      <w:r w:rsidR="00234DA3">
        <w:rPr>
          <w:sz w:val="28"/>
          <w:szCs w:val="28"/>
        </w:rPr>
        <w:t xml:space="preserve"> «Неорганическая химия».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E1913" w:rsidRPr="007F020E" w:rsidRDefault="001E1913" w:rsidP="001E191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87274" w:rsidRPr="007F020E" w:rsidTr="007F020E">
        <w:trPr>
          <w:trHeight w:val="20"/>
        </w:trPr>
        <w:tc>
          <w:tcPr>
            <w:tcW w:w="1668" w:type="dxa"/>
          </w:tcPr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87274" w:rsidRPr="007F020E" w:rsidRDefault="00F87274" w:rsidP="00F8727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87274" w:rsidRDefault="00F87274" w:rsidP="00F8727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 w:rsidRPr="007F020E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F020E" w:rsidRPr="007F020E" w:rsidRDefault="007F020E" w:rsidP="007F020E">
            <w:pPr>
              <w:contextualSpacing/>
              <w:rPr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B06A52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Владение</w:t>
            </w:r>
            <w:r w:rsidRPr="007F020E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3A2DAE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3A2DAE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3A2DAE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3A2DAE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3A2DAE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3A2DAE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71171D" w:rsidRPr="000C0588">
        <w:rPr>
          <w:sz w:val="28"/>
          <w:szCs w:val="28"/>
        </w:rPr>
        <w:t xml:space="preserve"> «</w:t>
      </w:r>
      <w:r w:rsidR="007F020E">
        <w:rPr>
          <w:sz w:val="28"/>
          <w:szCs w:val="28"/>
        </w:rPr>
        <w:t>Неорганическая химия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69" w:rsidRDefault="00757069" w:rsidP="00E76C7A">
      <w:r>
        <w:separator/>
      </w:r>
    </w:p>
  </w:endnote>
  <w:endnote w:type="continuationSeparator" w:id="0">
    <w:p w:rsidR="00757069" w:rsidRDefault="007570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69" w:rsidRDefault="00757069" w:rsidP="00E76C7A">
      <w:r>
        <w:separator/>
      </w:r>
    </w:p>
  </w:footnote>
  <w:footnote w:type="continuationSeparator" w:id="0">
    <w:p w:rsidR="00757069" w:rsidRDefault="007570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0D2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6CAB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5844-DA49-4D41-9BD9-E88980DA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38593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