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7566F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B550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7566F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7566F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7566F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подготовки</w:t>
      </w:r>
    </w:p>
    <w:p w:rsidR="00566281" w:rsidRPr="00234DA3" w:rsidRDefault="0097566F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1.4.10</w:t>
      </w:r>
      <w:r w:rsidR="000E3C9A">
        <w:rPr>
          <w:b/>
          <w:bCs/>
        </w:rPr>
        <w:t xml:space="preserve"> «Коллоидная 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7566F" w:rsidRPr="00C806A2" w:rsidRDefault="0097566F" w:rsidP="00734DA7">
      <w:pPr>
        <w:widowControl/>
        <w:ind w:firstLine="0"/>
        <w:jc w:val="center"/>
      </w:pPr>
    </w:p>
    <w:p w:rsidR="00C56891" w:rsidRPr="0097566F" w:rsidRDefault="0097566F" w:rsidP="0097566F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7566F">
        <w:rPr>
          <w:sz w:val="28"/>
          <w:szCs w:val="28"/>
        </w:rPr>
        <w:t>научной специальности 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</w:t>
            </w:r>
            <w:r>
              <w:rPr>
                <w:rFonts w:cs="Calibri"/>
              </w:rPr>
              <w:lastRenderedPageBreak/>
              <w:t>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 xml:space="preserve">научная </w:t>
      </w:r>
      <w:proofErr w:type="spellStart"/>
      <w:r w:rsidR="0097566F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7566F" w:rsidRPr="007F020E" w:rsidRDefault="0097566F" w:rsidP="0097566F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A6D28" w:rsidRPr="007F020E" w:rsidTr="007F020E">
        <w:trPr>
          <w:trHeight w:val="20"/>
        </w:trPr>
        <w:tc>
          <w:tcPr>
            <w:tcW w:w="1668" w:type="dxa"/>
          </w:tcPr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A6D28" w:rsidRPr="007F020E" w:rsidRDefault="00FA6D28" w:rsidP="00FA6D2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A6D28" w:rsidRDefault="00FA6D28" w:rsidP="00FA6D2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</w:t>
            </w:r>
          </w:p>
          <w:p w:rsidR="000E3C9A" w:rsidRDefault="000E3C9A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E3C9A" w:rsidRPr="007F020E" w:rsidRDefault="000E3C9A" w:rsidP="007F020E">
            <w:pPr>
              <w:contextualSpacing/>
              <w:rPr>
                <w:kern w:val="24"/>
              </w:rPr>
            </w:pP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0E3C9A" w:rsidRDefault="000E3C9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E3C9A" w:rsidRPr="00B06A52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4871" w:rsidRP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24A59" w:rsidRDefault="00777297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net</w:t>
        </w:r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24A59">
        <w:rPr>
          <w:color w:val="000000"/>
          <w:sz w:val="28"/>
          <w:szCs w:val="28"/>
        </w:rPr>
        <w:t xml:space="preserve">  Мир психологии</w:t>
      </w:r>
    </w:p>
    <w:p w:rsidR="00524A59" w:rsidRDefault="00777297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www</w:t>
        </w:r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24A5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24A59" w:rsidRDefault="00777297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524A5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24A5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24A59" w:rsidRDefault="00524A59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24A59" w:rsidRDefault="00777297" w:rsidP="00524A5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24A59">
          <w:rPr>
            <w:rStyle w:val="a7"/>
            <w:sz w:val="28"/>
            <w:szCs w:val="28"/>
            <w:lang w:val="en-US"/>
          </w:rPr>
          <w:t>http</w:t>
        </w:r>
        <w:r w:rsidR="00524A59">
          <w:rPr>
            <w:rStyle w:val="a7"/>
            <w:sz w:val="28"/>
            <w:szCs w:val="28"/>
          </w:rPr>
          <w:t>://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ru</w:t>
        </w:r>
        <w:proofErr w:type="spellEnd"/>
        <w:r w:rsidR="00524A59">
          <w:rPr>
            <w:rStyle w:val="a7"/>
            <w:sz w:val="28"/>
            <w:szCs w:val="28"/>
          </w:rPr>
          <w:t>/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24A59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524A59">
        <w:rPr>
          <w:sz w:val="28"/>
          <w:szCs w:val="28"/>
        </w:rPr>
        <w:t>4 т</w:t>
      </w:r>
      <w:proofErr w:type="gramEnd"/>
      <w:r w:rsidR="00524A59">
        <w:rPr>
          <w:sz w:val="28"/>
          <w:szCs w:val="28"/>
        </w:rPr>
        <w:t xml:space="preserve">. / Институт философии РАН; Нац. </w:t>
      </w:r>
      <w:proofErr w:type="spellStart"/>
      <w:r w:rsidR="00524A59">
        <w:rPr>
          <w:sz w:val="28"/>
          <w:szCs w:val="28"/>
        </w:rPr>
        <w:t>общест</w:t>
      </w:r>
      <w:proofErr w:type="spellEnd"/>
      <w:r w:rsidR="00524A59">
        <w:rPr>
          <w:sz w:val="28"/>
          <w:szCs w:val="28"/>
        </w:rPr>
        <w:t>.-</w:t>
      </w:r>
      <w:proofErr w:type="spellStart"/>
      <w:r w:rsidR="00524A59">
        <w:rPr>
          <w:sz w:val="28"/>
          <w:szCs w:val="28"/>
        </w:rPr>
        <w:t>научн</w:t>
      </w:r>
      <w:proofErr w:type="spellEnd"/>
      <w:r w:rsidR="00524A5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24A59" w:rsidRDefault="00777297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24A5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24A59" w:rsidRDefault="00777297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24A5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24A59">
        <w:rPr>
          <w:rFonts w:eastAsia="Calibri"/>
          <w:b/>
          <w:sz w:val="28"/>
          <w:szCs w:val="28"/>
          <w:lang w:eastAsia="en-US"/>
        </w:rPr>
        <w:t xml:space="preserve"> </w:t>
      </w:r>
      <w:r w:rsidR="00524A5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F9" w:rsidRDefault="00A96EF9" w:rsidP="00E76C7A">
      <w:r>
        <w:separator/>
      </w:r>
    </w:p>
  </w:endnote>
  <w:endnote w:type="continuationSeparator" w:id="0">
    <w:p w:rsidR="00A96EF9" w:rsidRDefault="00A96EF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F9" w:rsidRDefault="00A96EF9" w:rsidP="00E76C7A">
      <w:r>
        <w:separator/>
      </w:r>
    </w:p>
  </w:footnote>
  <w:footnote w:type="continuationSeparator" w:id="0">
    <w:p w:rsidR="00A96EF9" w:rsidRDefault="00A96EF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7566F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4A59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491B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2799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77297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566F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6EF9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25F4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6D28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684E68-2A20-4AF6-B8A0-C60341A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0E97-B7D1-4284-9313-BA48BAA5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