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94F92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D94F92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94F92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94F92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94F92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 w:rsidR="00414BE4">
        <w:rPr>
          <w:b/>
        </w:rPr>
        <w:t xml:space="preserve"> «Неорганическая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94F92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9574B9" w:rsidRDefault="009574B9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A81061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9D28D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A364B" w:rsidRPr="00510FD8" w:rsidRDefault="004A364B" w:rsidP="004A364B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</w:t>
            </w:r>
            <w:r>
              <w:t>(</w:t>
            </w:r>
            <w:r>
              <w:rPr>
                <w:rFonts w:cs="Calibri"/>
              </w:rPr>
              <w:t>г</w:t>
            </w:r>
            <w:r w:rsidRPr="00C63643">
              <w:rPr>
                <w:rFonts w:cs="Calibri"/>
              </w:rPr>
              <w:t>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      </w:r>
            <w:r>
              <w:rPr>
                <w:rFonts w:cs="Calibri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</w:pPr>
            <w:r w:rsidRPr="006B1630">
              <w:rPr>
                <w:b/>
              </w:rPr>
              <w:t xml:space="preserve">Знать: </w:t>
            </w:r>
            <w:r w:rsidRPr="006B1630"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 w:rsidRPr="006B1630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Уметь:</w:t>
            </w:r>
            <w:r w:rsidRPr="006B1630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Владеть:</w:t>
            </w:r>
            <w:r w:rsidRPr="006B1630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94F92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Default="001D40B3" w:rsidP="001D40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D40B3" w:rsidRDefault="001D40B3" w:rsidP="001D40B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Pr="00DA515E" w:rsidRDefault="001D40B3" w:rsidP="001D40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Уметь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Владеть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способностью предложить технологию для синтеза заданных неорганических </w:t>
            </w:r>
            <w:r>
              <w:lastRenderedPageBreak/>
              <w:t>и координационных соединений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94F92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A4570" w:rsidRDefault="00AA4570" w:rsidP="00AA45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570" w:rsidRDefault="00AA4570" w:rsidP="00D94F92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A4570" w:rsidRDefault="00AA4570" w:rsidP="00AA457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D94F92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D94F9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D94F9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D94F92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D94F92" w:rsidP="00D94F92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D94F92" w:rsidP="00D94F92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D94F9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D94F9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D94F9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D94F92" w:rsidP="00D94F92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D94F92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D94F92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D94F92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D94F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1.4.1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1B2C92">
        <w:rPr>
          <w:sz w:val="28"/>
          <w:szCs w:val="28"/>
        </w:rPr>
        <w:t>Неорганическая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2DC83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94F92" w:rsidTr="00D94F92">
        <w:tc>
          <w:tcPr>
            <w:tcW w:w="125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94F92" w:rsidRDefault="00D94F92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94F92" w:rsidRDefault="00D94F92" w:rsidP="00D94F92">
      <w:pPr>
        <w:widowControl/>
        <w:ind w:firstLine="0"/>
        <w:jc w:val="center"/>
        <w:rPr>
          <w:b/>
          <w:sz w:val="16"/>
          <w:szCs w:val="16"/>
        </w:rPr>
      </w:pPr>
    </w:p>
    <w:p w:rsidR="00D94F92" w:rsidRDefault="00D94F92" w:rsidP="00D94F9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94F92" w:rsidRDefault="00D94F92" w:rsidP="00D94F92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94F92" w:rsidTr="00D94F9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94F92" w:rsidTr="00D94F9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94F92" w:rsidTr="00D94F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Составление и защита отчета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</w:pPr>
          </w:p>
        </w:tc>
      </w:tr>
    </w:tbl>
    <w:p w:rsidR="00D94F92" w:rsidRDefault="00D94F92" w:rsidP="00D94F92">
      <w:pPr>
        <w:widowControl/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94F92" w:rsidRDefault="00D94F92">
            <w:pPr>
              <w:rPr>
                <w:kern w:val="24"/>
              </w:rPr>
            </w:pPr>
          </w:p>
        </w:tc>
      </w:tr>
      <w:tr w:rsidR="00D94F92" w:rsidTr="00D94F9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94F92" w:rsidTr="00D94F92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или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94F92" w:rsidRDefault="00D94F92" w:rsidP="00D94F92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94F92" w:rsidRDefault="00D94F92" w:rsidP="00D94F92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  <w:lang w:val="en-US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E4A06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94F92" w:rsidTr="00D94F92">
        <w:tc>
          <w:tcPr>
            <w:tcW w:w="250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suppressAutoHyphens/>
        <w:ind w:firstLine="0"/>
        <w:jc w:val="center"/>
        <w:rPr>
          <w:b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94F92" w:rsidRDefault="00D94F92" w:rsidP="00D94F9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ind w:firstLine="680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ind w:firstLine="567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 (</w:t>
            </w:r>
            <w:r>
              <w:t xml:space="preserve">готовность к проведению синтетических исследований в области неорганической </w:t>
            </w:r>
            <w:r>
              <w:lastRenderedPageBreak/>
              <w:t>химии и разработке новых методов получения неорганических веществ и материалов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>организовать работу малого исследовательского коллектива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P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</w:tr>
    </w:tbl>
    <w:p w:rsidR="00D94F92" w:rsidRDefault="00D94F92" w:rsidP="00D94F92">
      <w:pPr>
        <w:ind w:left="720" w:firstLine="0"/>
        <w:contextualSpacing/>
        <w:rPr>
          <w:b/>
          <w:sz w:val="12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94F92" w:rsidTr="00D94F9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Семестры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 год обучения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94F92" w:rsidRDefault="00D94F92" w:rsidP="00D94F9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94F92" w:rsidTr="00D94F9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94F92" w:rsidRDefault="00D94F9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94F92" w:rsidTr="00D94F9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94F92" w:rsidTr="00D94F9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94F92" w:rsidRDefault="00D94F92" w:rsidP="00D94F92">
      <w:pPr>
        <w:ind w:firstLine="426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работу малого исследовательского коллектива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94F92" w:rsidTr="00D94F9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</w:t>
            </w:r>
            <w:r>
              <w:lastRenderedPageBreak/>
              <w:t>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94F92" w:rsidRDefault="00D94F92" w:rsidP="00D94F92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</w:t>
      </w:r>
      <w:r>
        <w:rPr>
          <w:rFonts w:ascii="Times New Roman" w:hAnsi="Times New Roman"/>
          <w:sz w:val="28"/>
          <w:szCs w:val="28"/>
        </w:rPr>
        <w:lastRenderedPageBreak/>
        <w:t>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94F92" w:rsidRDefault="00D94F92" w:rsidP="00D94F9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94F92" w:rsidRDefault="00D94F92" w:rsidP="00D94F92">
      <w:pPr>
        <w:widowControl/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ind w:left="0" w:firstLine="851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numPr>
          <w:ilvl w:val="0"/>
          <w:numId w:val="1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94F92" w:rsidRDefault="00D94F92" w:rsidP="00D94F9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 w:rsidP="001B2C92">
      <w:pPr>
        <w:ind w:firstLine="709"/>
        <w:contextualSpacing/>
        <w:rPr>
          <w:sz w:val="28"/>
          <w:szCs w:val="28"/>
        </w:rPr>
      </w:pPr>
    </w:p>
    <w:sectPr w:rsidR="00D94F92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0E" w:rsidRDefault="00BC540E" w:rsidP="00E76C7A">
      <w:r>
        <w:separator/>
      </w:r>
    </w:p>
  </w:endnote>
  <w:endnote w:type="continuationSeparator" w:id="0">
    <w:p w:rsidR="00BC540E" w:rsidRDefault="00BC540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0E" w:rsidRDefault="00BC540E" w:rsidP="00E76C7A">
      <w:r>
        <w:separator/>
      </w:r>
    </w:p>
  </w:footnote>
  <w:footnote w:type="continuationSeparator" w:id="0">
    <w:p w:rsidR="00BC540E" w:rsidRDefault="00BC540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B" w:rsidRPr="00675078" w:rsidRDefault="004A364B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76E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4570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40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4F92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37E4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94F92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94F92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94F92"/>
    <w:rPr>
      <w:sz w:val="24"/>
      <w:szCs w:val="24"/>
    </w:rPr>
  </w:style>
  <w:style w:type="character" w:customStyle="1" w:styleId="afa">
    <w:name w:val="Основной текст_"/>
    <w:link w:val="13"/>
    <w:locked/>
    <w:rsid w:val="00D94F9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94F9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94F92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94F92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9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A3D9-3030-40C8-B348-71F5310B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8086</Words>
  <Characters>65582</Characters>
  <Application>Microsoft Office Word</Application>
  <DocSecurity>0</DocSecurity>
  <Lines>546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2021-12-14T10:18:00Z</dcterms:created>
  <dcterms:modified xsi:type="dcterms:W3CDTF">2021-12-14T10:18:00Z</dcterms:modified>
</cp:coreProperties>
</file>