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25"/>
        <w:gridCol w:w="1857"/>
        <w:gridCol w:w="3519"/>
        <w:gridCol w:w="538"/>
      </w:tblGrid>
      <w:tr w:rsidR="00441210">
        <w:trPr>
          <w:trHeight w:hRule="exact" w:val="1805"/>
        </w:trPr>
        <w:tc>
          <w:tcPr>
            <w:tcW w:w="3828" w:type="dxa"/>
          </w:tcPr>
          <w:p w:rsidR="00441210" w:rsidRDefault="00441210">
            <w:bookmarkStart w:id="0" w:name="_GoBack"/>
            <w:bookmarkEnd w:id="0"/>
          </w:p>
        </w:tc>
        <w:tc>
          <w:tcPr>
            <w:tcW w:w="1857" w:type="dxa"/>
            <w:shd w:val="clear" w:color="FFFFFF" w:fill="FFFFFF"/>
            <w:tcMar>
              <w:left w:w="4" w:type="dxa"/>
              <w:right w:w="4" w:type="dxa"/>
            </w:tcMar>
          </w:tcPr>
          <w:p w:rsidR="00441210" w:rsidRDefault="00590F39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5" w:type="dxa"/>
          </w:tcPr>
          <w:p w:rsidR="00441210" w:rsidRDefault="00441210"/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1250"/>
        </w:trPr>
        <w:tc>
          <w:tcPr>
            <w:tcW w:w="9654" w:type="dxa"/>
            <w:gridSpan w:val="4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441210" w:rsidRDefault="00590F39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МИНОБРНАУКИ РОССИИ</w:t>
            </w:r>
          </w:p>
          <w:p w:rsidR="00441210" w:rsidRDefault="00590F39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Федеральное государственное бюджетное образовательное учреждение</w:t>
            </w:r>
          </w:p>
          <w:p w:rsidR="00441210" w:rsidRDefault="00590F39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высшего образования</w:t>
            </w:r>
          </w:p>
          <w:p w:rsidR="00441210" w:rsidRDefault="00590F39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«МИРЭА – Российский технологический университет»</w:t>
            </w:r>
          </w:p>
        </w:tc>
      </w:tr>
      <w:tr w:rsidR="00441210">
        <w:trPr>
          <w:trHeight w:hRule="exact" w:val="277"/>
        </w:trPr>
        <w:tc>
          <w:tcPr>
            <w:tcW w:w="3828" w:type="dxa"/>
          </w:tcPr>
          <w:p w:rsidR="00441210" w:rsidRDefault="00441210"/>
        </w:tc>
        <w:tc>
          <w:tcPr>
            <w:tcW w:w="1702" w:type="dxa"/>
          </w:tcPr>
          <w:p w:rsidR="00441210" w:rsidRDefault="00441210"/>
        </w:tc>
        <w:tc>
          <w:tcPr>
            <w:tcW w:w="3545" w:type="dxa"/>
          </w:tcPr>
          <w:p w:rsidR="00441210" w:rsidRDefault="00441210"/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416"/>
        </w:trPr>
        <w:tc>
          <w:tcPr>
            <w:tcW w:w="3828" w:type="dxa"/>
          </w:tcPr>
          <w:p w:rsidR="00441210" w:rsidRDefault="00441210"/>
        </w:tc>
        <w:tc>
          <w:tcPr>
            <w:tcW w:w="1702" w:type="dxa"/>
          </w:tcPr>
          <w:p w:rsidR="00441210" w:rsidRDefault="00441210"/>
        </w:tc>
        <w:tc>
          <w:tcPr>
            <w:tcW w:w="3558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416"/>
        </w:trPr>
        <w:tc>
          <w:tcPr>
            <w:tcW w:w="3828" w:type="dxa"/>
          </w:tcPr>
          <w:p w:rsidR="00441210" w:rsidRDefault="00441210"/>
        </w:tc>
        <w:tc>
          <w:tcPr>
            <w:tcW w:w="1702" w:type="dxa"/>
          </w:tcPr>
          <w:p w:rsidR="00441210" w:rsidRDefault="00441210"/>
        </w:tc>
        <w:tc>
          <w:tcPr>
            <w:tcW w:w="3558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Ректор</w:t>
            </w:r>
          </w:p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555"/>
        </w:trPr>
        <w:tc>
          <w:tcPr>
            <w:tcW w:w="3828" w:type="dxa"/>
          </w:tcPr>
          <w:p w:rsidR="00441210" w:rsidRDefault="00441210"/>
        </w:tc>
        <w:tc>
          <w:tcPr>
            <w:tcW w:w="1702" w:type="dxa"/>
          </w:tcPr>
          <w:p w:rsidR="00441210" w:rsidRDefault="00441210"/>
        </w:tc>
        <w:tc>
          <w:tcPr>
            <w:tcW w:w="3558" w:type="dxa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441210" w:rsidRDefault="00590F3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__________________Кудж С.А.</w:t>
            </w:r>
          </w:p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416"/>
        </w:trPr>
        <w:tc>
          <w:tcPr>
            <w:tcW w:w="3828" w:type="dxa"/>
          </w:tcPr>
          <w:p w:rsidR="00441210" w:rsidRDefault="00441210"/>
        </w:tc>
        <w:tc>
          <w:tcPr>
            <w:tcW w:w="1702" w:type="dxa"/>
          </w:tcPr>
          <w:p w:rsidR="00441210" w:rsidRDefault="00441210"/>
        </w:tc>
        <w:tc>
          <w:tcPr>
            <w:tcW w:w="3558" w:type="dxa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441210" w:rsidRDefault="00590F3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«___»_____________20___ г.</w:t>
            </w:r>
          </w:p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555"/>
        </w:trPr>
        <w:tc>
          <w:tcPr>
            <w:tcW w:w="3828" w:type="dxa"/>
          </w:tcPr>
          <w:p w:rsidR="00441210" w:rsidRDefault="00441210"/>
        </w:tc>
        <w:tc>
          <w:tcPr>
            <w:tcW w:w="1702" w:type="dxa"/>
          </w:tcPr>
          <w:p w:rsidR="00441210" w:rsidRDefault="00441210"/>
        </w:tc>
        <w:tc>
          <w:tcPr>
            <w:tcW w:w="3558" w:type="dxa"/>
            <w:shd w:val="clear" w:color="000000" w:fill="FFFFFF"/>
            <w:tcMar>
              <w:left w:w="1234" w:type="dxa"/>
              <w:right w:w="34" w:type="dxa"/>
            </w:tcMar>
          </w:tcPr>
          <w:p w:rsidR="00441210" w:rsidRDefault="00441210"/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277"/>
        </w:trPr>
        <w:tc>
          <w:tcPr>
            <w:tcW w:w="3828" w:type="dxa"/>
          </w:tcPr>
          <w:p w:rsidR="00441210" w:rsidRDefault="00441210"/>
        </w:tc>
        <w:tc>
          <w:tcPr>
            <w:tcW w:w="1702" w:type="dxa"/>
          </w:tcPr>
          <w:p w:rsidR="00441210" w:rsidRDefault="00441210"/>
        </w:tc>
        <w:tc>
          <w:tcPr>
            <w:tcW w:w="3545" w:type="dxa"/>
          </w:tcPr>
          <w:p w:rsidR="00441210" w:rsidRDefault="00441210"/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833"/>
        </w:trPr>
        <w:tc>
          <w:tcPr>
            <w:tcW w:w="9654" w:type="dxa"/>
            <w:gridSpan w:val="4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441210" w:rsidRDefault="00590F39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Основная профессиональная образовательная</w:t>
            </w:r>
          </w:p>
          <w:p w:rsidR="00441210" w:rsidRDefault="00590F39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программа высшего образования</w:t>
            </w:r>
          </w:p>
        </w:tc>
      </w:tr>
      <w:tr w:rsidR="00441210">
        <w:trPr>
          <w:trHeight w:hRule="exact" w:val="277"/>
        </w:trPr>
        <w:tc>
          <w:tcPr>
            <w:tcW w:w="3828" w:type="dxa"/>
          </w:tcPr>
          <w:p w:rsidR="00441210" w:rsidRDefault="00441210"/>
        </w:tc>
        <w:tc>
          <w:tcPr>
            <w:tcW w:w="1702" w:type="dxa"/>
          </w:tcPr>
          <w:p w:rsidR="00441210" w:rsidRDefault="00441210"/>
        </w:tc>
        <w:tc>
          <w:tcPr>
            <w:tcW w:w="3545" w:type="dxa"/>
          </w:tcPr>
          <w:p w:rsidR="00441210" w:rsidRDefault="00441210"/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709"/>
        </w:trPr>
        <w:tc>
          <w:tcPr>
            <w:tcW w:w="370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Специальность</w:t>
            </w:r>
          </w:p>
        </w:tc>
        <w:tc>
          <w:tcPr>
            <w:tcW w:w="596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04.05.01 Фундаментальная и прикладная химия</w:t>
            </w:r>
          </w:p>
        </w:tc>
      </w:tr>
      <w:tr w:rsidR="00441210">
        <w:trPr>
          <w:trHeight w:hRule="exact" w:val="694"/>
        </w:trPr>
        <w:tc>
          <w:tcPr>
            <w:tcW w:w="370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Специализация</w:t>
            </w:r>
          </w:p>
        </w:tc>
        <w:tc>
          <w:tcPr>
            <w:tcW w:w="596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Зеленая химия и катализ</w:t>
            </w:r>
          </w:p>
        </w:tc>
      </w:tr>
      <w:tr w:rsidR="00441210">
        <w:trPr>
          <w:trHeight w:hRule="exact" w:val="694"/>
        </w:trPr>
        <w:tc>
          <w:tcPr>
            <w:tcW w:w="370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Квалификация</w:t>
            </w:r>
          </w:p>
        </w:tc>
        <w:tc>
          <w:tcPr>
            <w:tcW w:w="596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Химик. Преподаватель химии</w:t>
            </w:r>
          </w:p>
        </w:tc>
      </w:tr>
      <w:tr w:rsidR="00441210">
        <w:trPr>
          <w:trHeight w:hRule="exact" w:val="694"/>
        </w:trPr>
        <w:tc>
          <w:tcPr>
            <w:tcW w:w="370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Форма обучения</w:t>
            </w:r>
          </w:p>
        </w:tc>
        <w:tc>
          <w:tcPr>
            <w:tcW w:w="596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>
            <w:pPr>
              <w:spacing w:after="0" w:line="240" w:lineRule="auto"/>
              <w:rPr>
                <w:szCs w:val="28"/>
              </w:rPr>
            </w:pPr>
            <w:r>
              <w:rPr>
                <w:color w:val="000000"/>
                <w:szCs w:val="28"/>
              </w:rPr>
              <w:t>очная</w:t>
            </w:r>
          </w:p>
        </w:tc>
      </w:tr>
      <w:tr w:rsidR="00441210">
        <w:trPr>
          <w:trHeight w:hRule="exact" w:val="4124"/>
        </w:trPr>
        <w:tc>
          <w:tcPr>
            <w:tcW w:w="3828" w:type="dxa"/>
          </w:tcPr>
          <w:p w:rsidR="00441210" w:rsidRDefault="00441210"/>
        </w:tc>
        <w:tc>
          <w:tcPr>
            <w:tcW w:w="1702" w:type="dxa"/>
          </w:tcPr>
          <w:p w:rsidR="00441210" w:rsidRDefault="00441210"/>
        </w:tc>
        <w:tc>
          <w:tcPr>
            <w:tcW w:w="3545" w:type="dxa"/>
          </w:tcPr>
          <w:p w:rsidR="00441210" w:rsidRDefault="00441210"/>
        </w:tc>
        <w:tc>
          <w:tcPr>
            <w:tcW w:w="568" w:type="dxa"/>
          </w:tcPr>
          <w:p w:rsidR="00441210" w:rsidRDefault="00441210"/>
        </w:tc>
      </w:tr>
      <w:tr w:rsidR="00441210">
        <w:trPr>
          <w:trHeight w:hRule="exact" w:val="277"/>
        </w:trPr>
        <w:tc>
          <w:tcPr>
            <w:tcW w:w="9654" w:type="dxa"/>
            <w:gridSpan w:val="4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441210" w:rsidRDefault="00590F39">
            <w:pPr>
              <w:spacing w:after="0" w:line="240" w:lineRule="auto"/>
              <w:jc w:val="center"/>
              <w:rPr>
                <w:szCs w:val="28"/>
              </w:rPr>
            </w:pPr>
            <w:r>
              <w:rPr>
                <w:color w:val="000000"/>
                <w:szCs w:val="28"/>
              </w:rPr>
              <w:t>Москва 2023</w:t>
            </w:r>
          </w:p>
        </w:tc>
      </w:tr>
    </w:tbl>
    <w:p w:rsidR="00441210" w:rsidRDefault="00590F39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"/>
        <w:gridCol w:w="9370"/>
      </w:tblGrid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lastRenderedPageBreak/>
              <w:t>1.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Цель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(миссия)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программы</w:t>
            </w:r>
            <w:r>
              <w:t xml:space="preserve"> 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Программа</w:t>
            </w:r>
            <w:r>
              <w:t xml:space="preserve"> </w:t>
            </w:r>
            <w:r>
              <w:rPr>
                <w:color w:val="000000"/>
                <w:szCs w:val="28"/>
              </w:rPr>
              <w:t>имеет</w:t>
            </w:r>
            <w:r>
              <w:t xml:space="preserve"> </w:t>
            </w:r>
            <w:r>
              <w:rPr>
                <w:color w:val="000000"/>
                <w:szCs w:val="28"/>
              </w:rPr>
              <w:t>своей</w:t>
            </w:r>
            <w:r>
              <w:t xml:space="preserve"> </w:t>
            </w:r>
            <w:r>
              <w:rPr>
                <w:color w:val="000000"/>
                <w:szCs w:val="28"/>
              </w:rPr>
              <w:t>целью</w:t>
            </w:r>
            <w:r>
              <w:t xml:space="preserve"> </w:t>
            </w:r>
            <w:r>
              <w:rPr>
                <w:color w:val="000000"/>
                <w:szCs w:val="28"/>
              </w:rPr>
              <w:t>развитие</w:t>
            </w:r>
            <w:r>
              <w:t xml:space="preserve"> </w:t>
            </w:r>
            <w:r>
              <w:rPr>
                <w:color w:val="000000"/>
                <w:szCs w:val="28"/>
              </w:rPr>
              <w:t>у</w:t>
            </w:r>
            <w:r>
              <w:t xml:space="preserve"> </w:t>
            </w:r>
            <w:r>
              <w:rPr>
                <w:color w:val="000000"/>
                <w:szCs w:val="28"/>
              </w:rPr>
              <w:t>обучающихся</w:t>
            </w:r>
            <w:r>
              <w:t xml:space="preserve"> </w:t>
            </w:r>
            <w:r>
              <w:rPr>
                <w:color w:val="000000"/>
                <w:szCs w:val="28"/>
              </w:rPr>
              <w:t>личностных</w:t>
            </w:r>
            <w:r>
              <w:t xml:space="preserve"> </w:t>
            </w:r>
            <w:r>
              <w:rPr>
                <w:color w:val="000000"/>
                <w:szCs w:val="28"/>
              </w:rPr>
              <w:t>качеств,</w:t>
            </w:r>
            <w:r>
              <w:t xml:space="preserve"> </w:t>
            </w:r>
            <w:r>
              <w:rPr>
                <w:color w:val="000000"/>
                <w:szCs w:val="28"/>
              </w:rPr>
              <w:t>а</w:t>
            </w:r>
            <w:r>
              <w:t xml:space="preserve"> </w:t>
            </w:r>
            <w:r>
              <w:rPr>
                <w:color w:val="000000"/>
                <w:szCs w:val="28"/>
              </w:rPr>
              <w:t>также</w:t>
            </w:r>
            <w:r>
              <w:t xml:space="preserve"> </w:t>
            </w:r>
            <w:r>
              <w:rPr>
                <w:color w:val="000000"/>
                <w:szCs w:val="28"/>
              </w:rPr>
              <w:t>формирование</w:t>
            </w:r>
            <w:r>
              <w:t xml:space="preserve"> </w:t>
            </w:r>
            <w:r>
              <w:rPr>
                <w:color w:val="000000"/>
                <w:szCs w:val="28"/>
              </w:rPr>
              <w:t>универсальных,</w:t>
            </w:r>
            <w:r>
              <w:t xml:space="preserve"> </w:t>
            </w:r>
            <w:r>
              <w:rPr>
                <w:color w:val="000000"/>
                <w:szCs w:val="28"/>
              </w:rPr>
              <w:t>общепрофессиональных</w:t>
            </w:r>
            <w:r>
              <w:t xml:space="preserve"> </w:t>
            </w:r>
            <w:r>
              <w:rPr>
                <w:color w:val="000000"/>
                <w:szCs w:val="28"/>
              </w:rPr>
              <w:t>и</w:t>
            </w:r>
            <w:r>
              <w:t xml:space="preserve"> </w:t>
            </w:r>
            <w:r>
              <w:rPr>
                <w:color w:val="000000"/>
                <w:szCs w:val="28"/>
              </w:rPr>
              <w:t>профессиональных</w:t>
            </w:r>
            <w:r>
              <w:t xml:space="preserve"> </w:t>
            </w:r>
            <w:r>
              <w:rPr>
                <w:color w:val="000000"/>
                <w:szCs w:val="28"/>
              </w:rPr>
              <w:t>компетенций</w:t>
            </w:r>
            <w:r>
              <w:t xml:space="preserve"> </w:t>
            </w:r>
            <w:r>
              <w:rPr>
                <w:color w:val="000000"/>
                <w:szCs w:val="28"/>
              </w:rPr>
              <w:t>в</w:t>
            </w:r>
            <w:r>
              <w:t xml:space="preserve"> </w:t>
            </w:r>
            <w:r>
              <w:rPr>
                <w:color w:val="000000"/>
                <w:szCs w:val="28"/>
              </w:rPr>
              <w:t>соответствии</w:t>
            </w:r>
            <w:r>
              <w:t xml:space="preserve"> </w:t>
            </w:r>
            <w:r>
              <w:rPr>
                <w:color w:val="000000"/>
                <w:szCs w:val="28"/>
              </w:rPr>
              <w:t>с</w:t>
            </w:r>
            <w:r>
              <w:t xml:space="preserve"> </w:t>
            </w:r>
            <w:r>
              <w:rPr>
                <w:color w:val="000000"/>
                <w:szCs w:val="28"/>
              </w:rPr>
              <w:t>требованиями</w:t>
            </w:r>
            <w:r>
              <w:t xml:space="preserve"> </w:t>
            </w:r>
            <w:r>
              <w:rPr>
                <w:color w:val="000000"/>
                <w:szCs w:val="28"/>
              </w:rPr>
              <w:t>ФГОС</w:t>
            </w:r>
            <w:r>
              <w:t xml:space="preserve"> </w:t>
            </w:r>
            <w:r>
              <w:rPr>
                <w:color w:val="000000"/>
                <w:szCs w:val="28"/>
              </w:rPr>
              <w:t>ВО</w:t>
            </w:r>
            <w:r>
              <w:t xml:space="preserve"> </w:t>
            </w:r>
            <w:r>
              <w:rPr>
                <w:color w:val="000000"/>
                <w:szCs w:val="28"/>
              </w:rPr>
              <w:t>по</w:t>
            </w:r>
            <w:r>
              <w:t xml:space="preserve"> </w:t>
            </w:r>
            <w:r>
              <w:rPr>
                <w:color w:val="000000"/>
                <w:szCs w:val="28"/>
              </w:rPr>
              <w:t>специальности</w:t>
            </w:r>
            <w:r>
              <w:t xml:space="preserve"> </w:t>
            </w:r>
            <w:r>
              <w:rPr>
                <w:color w:val="000000"/>
                <w:szCs w:val="28"/>
              </w:rPr>
              <w:t>04.05.01</w:t>
            </w:r>
            <w:r>
              <w:t xml:space="preserve"> </w:t>
            </w:r>
            <w:r>
              <w:rPr>
                <w:color w:val="000000"/>
                <w:szCs w:val="28"/>
              </w:rPr>
              <w:t>Фундаментальная</w:t>
            </w:r>
            <w:r>
              <w:t xml:space="preserve"> </w:t>
            </w:r>
            <w:r>
              <w:rPr>
                <w:color w:val="000000"/>
                <w:szCs w:val="28"/>
              </w:rPr>
              <w:t>и</w:t>
            </w:r>
            <w:r>
              <w:t xml:space="preserve"> </w:t>
            </w:r>
            <w:r>
              <w:rPr>
                <w:color w:val="000000"/>
                <w:szCs w:val="28"/>
              </w:rPr>
              <w:t>прикладная</w:t>
            </w:r>
            <w:r>
              <w:t xml:space="preserve"> </w:t>
            </w:r>
            <w:r>
              <w:rPr>
                <w:color w:val="000000"/>
                <w:szCs w:val="28"/>
              </w:rPr>
              <w:t>химия.</w:t>
            </w:r>
            <w:r>
              <w:t xml:space="preserve"> 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Программа</w:t>
            </w:r>
            <w:r>
              <w:t xml:space="preserve"> </w:t>
            </w:r>
            <w:r>
              <w:rPr>
                <w:color w:val="000000"/>
                <w:szCs w:val="28"/>
              </w:rPr>
              <w:t>включает</w:t>
            </w:r>
            <w:r>
              <w:t xml:space="preserve"> </w:t>
            </w:r>
            <w:r>
              <w:rPr>
                <w:color w:val="000000"/>
                <w:szCs w:val="28"/>
              </w:rPr>
              <w:t>в</w:t>
            </w:r>
            <w:r>
              <w:t xml:space="preserve"> </w:t>
            </w:r>
            <w:r>
              <w:rPr>
                <w:color w:val="000000"/>
                <w:szCs w:val="28"/>
              </w:rPr>
              <w:t>себя:</w:t>
            </w:r>
            <w:r>
              <w:t xml:space="preserve"> </w:t>
            </w:r>
            <w:r>
              <w:rPr>
                <w:color w:val="000000"/>
                <w:szCs w:val="28"/>
              </w:rPr>
              <w:t>учебный</w:t>
            </w:r>
            <w:r>
              <w:t xml:space="preserve"> </w:t>
            </w:r>
            <w:r>
              <w:rPr>
                <w:color w:val="000000"/>
                <w:szCs w:val="28"/>
              </w:rPr>
              <w:t>план,</w:t>
            </w:r>
            <w:r>
              <w:t xml:space="preserve"> </w:t>
            </w:r>
            <w:r>
              <w:rPr>
                <w:color w:val="000000"/>
                <w:szCs w:val="28"/>
              </w:rPr>
              <w:t>календарный</w:t>
            </w:r>
            <w:r>
              <w:t xml:space="preserve"> </w:t>
            </w:r>
            <w:r>
              <w:rPr>
                <w:color w:val="000000"/>
                <w:szCs w:val="28"/>
              </w:rPr>
              <w:t>учебный</w:t>
            </w:r>
            <w:r>
              <w:t xml:space="preserve"> </w:t>
            </w:r>
            <w:r>
              <w:rPr>
                <w:color w:val="000000"/>
                <w:szCs w:val="28"/>
              </w:rPr>
              <w:t>график,</w:t>
            </w:r>
            <w:r>
              <w:t xml:space="preserve"> </w:t>
            </w:r>
            <w:r>
              <w:rPr>
                <w:color w:val="000000"/>
                <w:szCs w:val="28"/>
              </w:rPr>
              <w:t>рабочие</w:t>
            </w:r>
            <w:r>
              <w:t xml:space="preserve"> </w:t>
            </w:r>
            <w:r>
              <w:rPr>
                <w:color w:val="000000"/>
                <w:szCs w:val="28"/>
              </w:rPr>
              <w:t>программы</w:t>
            </w:r>
            <w:r>
              <w:t xml:space="preserve"> </w:t>
            </w:r>
            <w:r>
              <w:rPr>
                <w:color w:val="000000"/>
                <w:szCs w:val="28"/>
              </w:rPr>
              <w:t>дисциплин</w:t>
            </w:r>
            <w:r>
              <w:t xml:space="preserve"> </w:t>
            </w:r>
            <w:r>
              <w:rPr>
                <w:color w:val="000000"/>
                <w:szCs w:val="28"/>
              </w:rPr>
              <w:t>(модулей),</w:t>
            </w:r>
            <w:r>
              <w:t xml:space="preserve"> </w:t>
            </w:r>
            <w:r>
              <w:rPr>
                <w:color w:val="000000"/>
                <w:szCs w:val="28"/>
              </w:rPr>
              <w:t>программ</w:t>
            </w:r>
            <w:r>
              <w:t xml:space="preserve"> </w:t>
            </w:r>
            <w:r>
              <w:rPr>
                <w:color w:val="000000"/>
                <w:szCs w:val="28"/>
              </w:rPr>
              <w:t>практик,</w:t>
            </w:r>
            <w:r>
              <w:t xml:space="preserve"> </w:t>
            </w:r>
            <w:r>
              <w:rPr>
                <w:color w:val="000000"/>
                <w:szCs w:val="28"/>
              </w:rPr>
              <w:t>а</w:t>
            </w:r>
            <w:r>
              <w:t xml:space="preserve"> </w:t>
            </w:r>
            <w:r>
              <w:rPr>
                <w:color w:val="000000"/>
                <w:szCs w:val="28"/>
              </w:rPr>
              <w:t>также</w:t>
            </w:r>
            <w:r>
              <w:t xml:space="preserve"> </w:t>
            </w:r>
            <w:r>
              <w:rPr>
                <w:color w:val="000000"/>
                <w:szCs w:val="28"/>
              </w:rPr>
              <w:t>комплекс</w:t>
            </w:r>
            <w:r>
              <w:t xml:space="preserve"> </w:t>
            </w:r>
            <w:r>
              <w:rPr>
                <w:color w:val="000000"/>
                <w:szCs w:val="28"/>
              </w:rPr>
              <w:t>оценочных</w:t>
            </w:r>
            <w:r>
              <w:t xml:space="preserve"> </w:t>
            </w:r>
            <w:r>
              <w:rPr>
                <w:color w:val="000000"/>
                <w:szCs w:val="28"/>
              </w:rPr>
              <w:t>и</w:t>
            </w:r>
            <w:r>
              <w:t xml:space="preserve"> </w:t>
            </w:r>
            <w:r>
              <w:rPr>
                <w:color w:val="000000"/>
                <w:szCs w:val="28"/>
              </w:rPr>
              <w:t>методических</w:t>
            </w:r>
            <w:r>
              <w:t xml:space="preserve"> </w:t>
            </w:r>
            <w:r>
              <w:rPr>
                <w:color w:val="000000"/>
                <w:szCs w:val="28"/>
              </w:rPr>
              <w:t>материалов.</w:t>
            </w:r>
            <w:r>
              <w:t xml:space="preserve"> 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2.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Нормативные</w:t>
            </w:r>
            <w:r>
              <w:t xml:space="preserve"> </w:t>
            </w:r>
            <w:r>
              <w:rPr>
                <w:b/>
                <w:color w:val="000000"/>
                <w:szCs w:val="28"/>
              </w:rPr>
              <w:t>документы</w:t>
            </w:r>
            <w:r>
              <w:t xml:space="preserve"> </w:t>
            </w:r>
          </w:p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color w:val="000000"/>
                <w:szCs w:val="28"/>
              </w:rPr>
              <w:t>Образовательная</w:t>
            </w:r>
            <w:r>
              <w:t xml:space="preserve"> </w:t>
            </w:r>
            <w:r>
              <w:rPr>
                <w:color w:val="000000"/>
                <w:szCs w:val="28"/>
              </w:rPr>
              <w:t>программа</w:t>
            </w:r>
            <w:r>
              <w:t xml:space="preserve"> </w:t>
            </w:r>
            <w:r>
              <w:rPr>
                <w:color w:val="000000"/>
                <w:szCs w:val="28"/>
              </w:rPr>
              <w:t>разработана</w:t>
            </w:r>
            <w:r>
              <w:t xml:space="preserve"> </w:t>
            </w:r>
            <w:r>
              <w:rPr>
                <w:color w:val="000000"/>
                <w:szCs w:val="28"/>
              </w:rPr>
              <w:t>в</w:t>
            </w:r>
            <w:r>
              <w:t xml:space="preserve"> </w:t>
            </w:r>
            <w:r>
              <w:rPr>
                <w:color w:val="000000"/>
                <w:szCs w:val="28"/>
              </w:rPr>
              <w:t>соответствии</w:t>
            </w:r>
            <w:r>
              <w:t xml:space="preserve"> </w:t>
            </w:r>
            <w:r>
              <w:rPr>
                <w:color w:val="000000"/>
                <w:szCs w:val="28"/>
              </w:rPr>
              <w:t>с</w:t>
            </w:r>
            <w:r>
              <w:t xml:space="preserve"> </w:t>
            </w:r>
            <w:r>
              <w:rPr>
                <w:color w:val="000000"/>
                <w:szCs w:val="28"/>
              </w:rPr>
              <w:t>требованиями</w:t>
            </w:r>
            <w:r>
              <w:t xml:space="preserve"> </w:t>
            </w:r>
            <w:r>
              <w:rPr>
                <w:color w:val="000000"/>
                <w:szCs w:val="28"/>
              </w:rPr>
              <w:t>нормативных</w:t>
            </w:r>
            <w:r>
              <w:t xml:space="preserve"> </w:t>
            </w:r>
            <w:r>
              <w:rPr>
                <w:color w:val="000000"/>
                <w:szCs w:val="28"/>
              </w:rPr>
              <w:t>правовых</w:t>
            </w:r>
            <w:r>
              <w:t xml:space="preserve"> </w:t>
            </w:r>
            <w:r>
              <w:rPr>
                <w:color w:val="000000"/>
                <w:szCs w:val="28"/>
              </w:rPr>
              <w:t>актов:</w:t>
            </w:r>
            <w:r>
              <w:t xml:space="preserve"> </w:t>
            </w:r>
          </w:p>
        </w:tc>
      </w:tr>
      <w:tr w:rsidR="00441210" w:rsidTr="00590F39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Федеральный закон Российской Федерации «Об образовании в Российской Федерации» от 29 декабря 2012 г. № 273-ФЗ;</w:t>
            </w:r>
          </w:p>
        </w:tc>
      </w:tr>
      <w:tr w:rsidR="00441210" w:rsidTr="00590F39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Федеральный государственный </w:t>
            </w:r>
            <w:r>
              <w:rPr>
                <w:color w:val="000000"/>
                <w:szCs w:val="28"/>
              </w:rPr>
              <w:t>образовательный стандарт высшего образования (ФГОС ВО) по направлению подготовки 04.05.01 Фундаментальная и прикладная химия, утвержденный приказом Министерства образования и науки Российской Федерации от 13 июля 2017 года № 652;</w:t>
            </w:r>
          </w:p>
        </w:tc>
      </w:tr>
      <w:tr w:rsidR="00441210" w:rsidTr="00590F39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Порядок организации и о</w:t>
            </w:r>
            <w:r>
              <w:rPr>
                <w:color w:val="000000"/>
                <w:szCs w:val="28"/>
              </w:rPr>
              <w:t>существления образовательной деятельности по образовательным программам высшего образования – программам бакалавриата, программам специалитета, программам магистратуры, утвержденный приказом Минобрнауки России от 6 апреля 2021 года № 245 (далее – Порядок о</w:t>
            </w:r>
            <w:r>
              <w:rPr>
                <w:color w:val="000000"/>
                <w:szCs w:val="28"/>
              </w:rPr>
              <w:t>рганизации образовательной деятельности);</w:t>
            </w:r>
          </w:p>
        </w:tc>
      </w:tr>
      <w:tr w:rsidR="00441210" w:rsidTr="00590F39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Профессиональный стандарт 40.011 Специалист по научно- исследовательским и опытно-конструкторским разработкам;</w:t>
            </w:r>
          </w:p>
        </w:tc>
      </w:tr>
      <w:tr w:rsidR="00441210" w:rsidTr="00590F39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Устав федерального государственного бюджетного образовательного учреждения высшего образования </w:t>
            </w:r>
            <w:r>
              <w:rPr>
                <w:color w:val="000000"/>
                <w:szCs w:val="28"/>
              </w:rPr>
              <w:t>«МИРЭА - Российский технологический университет»</w:t>
            </w:r>
          </w:p>
        </w:tc>
      </w:tr>
      <w:tr w:rsidR="00441210" w:rsidTr="00590F39">
        <w:tc>
          <w:tcPr>
            <w:tcW w:w="298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─</w:t>
            </w:r>
          </w:p>
        </w:tc>
        <w:tc>
          <w:tcPr>
            <w:tcW w:w="9370" w:type="dxa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Иные нормативные правовые акты, регламентирующие общественные отношения в сфере образования.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3. Объем программы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Трудоемкость освоения студентом ОП ВО в соответствии с ФГОС ВО по данному направлению 300 </w:t>
            </w:r>
            <w:r>
              <w:rPr>
                <w:color w:val="000000"/>
                <w:szCs w:val="28"/>
              </w:rPr>
              <w:t>зачетных единиц, включая все виды аудиторной (контактной) и самостоятельной работы студента, практики и время, отводимое на контроль качества освоения студентом ОП ВО.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4. Срок получения образования по программе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Срок получения образования по программе в о</w:t>
            </w:r>
            <w:r>
              <w:rPr>
                <w:color w:val="000000"/>
                <w:szCs w:val="28"/>
              </w:rPr>
              <w:t>чной, включая каникулы, предоставляемые после прохождения государственной итоговой аттестации, составляет 5 лет.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5. Применение электронного обучения и дистанционных образовательных технологий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Может реализовываться с применением электронного обучения и </w:t>
            </w:r>
            <w:r>
              <w:rPr>
                <w:color w:val="000000"/>
                <w:szCs w:val="28"/>
              </w:rPr>
              <w:t>дистанционных образовательных технологий.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6. Сетевая форма реализации программы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Не используется.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7. Сведения, составляющие государственную тайну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lastRenderedPageBreak/>
              <w:t>ОПОП ВО не содержит сведений, составляющих государственную тайну.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8. Язык образования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Образовательная </w:t>
            </w:r>
            <w:r>
              <w:rPr>
                <w:color w:val="000000"/>
                <w:szCs w:val="28"/>
              </w:rPr>
              <w:t>деятельность по программе осуществляется на государственном языке Российской Федерации – русском языке.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9. Область профессиональной деятельности выпускника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Области профессиональной деятельности и сферы профессиональной деятельности, в которых выпускники,</w:t>
            </w:r>
            <w:r>
              <w:rPr>
                <w:color w:val="000000"/>
                <w:szCs w:val="28"/>
              </w:rPr>
              <w:t xml:space="preserve"> освоившие программу, могут осуществлять профессиональную деятельность: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40 Сквозные виды профессиональной деятельности в промышленности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10. Типы задач профессиональной деятельности, к которым готовятся выпускники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Типы задач профессиональной деятельности,</w:t>
            </w:r>
            <w:r>
              <w:rPr>
                <w:color w:val="000000"/>
                <w:szCs w:val="28"/>
              </w:rPr>
              <w:t xml:space="preserve"> к которым готовятся выпускники: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научно-исследовательский.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11. Квалификация, присваиваемая выпускникам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Выпускникам присваивается квалификация «Химик. Преподаватель химии».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12. Условия реализации образовательной программы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Университет располагает на </w:t>
            </w:r>
            <w:r>
              <w:rPr>
                <w:color w:val="000000"/>
                <w:szCs w:val="28"/>
              </w:rPr>
              <w:t>законном основании материально- техническим обеспечением образовательной деятельности для реализации образовательной программы по Блоку 1 «Дисциплины» и Блоку 3 «Государственная итоговая аттестация» в соответствии с учебным планом. Конкретный перечень мате</w:t>
            </w:r>
            <w:r>
              <w:rPr>
                <w:color w:val="000000"/>
                <w:szCs w:val="28"/>
              </w:rPr>
              <w:t>риально-технического обеспечения (включая программное обеспечение) указан в рабочих программах.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Университет обеспечивает обучающимся индивидуальный неограниченный доступ к одной или нескольким электронно-библиотечным системам (электронным библиотекам) и к </w:t>
            </w:r>
            <w:r>
              <w:rPr>
                <w:color w:val="000000"/>
                <w:szCs w:val="28"/>
              </w:rPr>
              <w:t>электронной информационно- образовательной среде организации, которая соответствует требованиям федерального государственного образовательного стандарта.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13. Сведения о профессорско-преподавательском составе, необходимом для реализации программы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lastRenderedPageBreak/>
              <w:t>Реализац</w:t>
            </w:r>
            <w:r>
              <w:rPr>
                <w:color w:val="000000"/>
                <w:szCs w:val="28"/>
              </w:rPr>
              <w:t>ия программы обеспечивается руководящими и педагогическими работниками Университета, а также лицами, привлекаемыми к реализации программы на условиях гражданско-правового договора.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Доля педагогических работников Организации, участвующих в реализации образо</w:t>
            </w:r>
            <w:r>
              <w:rPr>
                <w:color w:val="000000"/>
                <w:szCs w:val="28"/>
              </w:rPr>
              <w:t>вательной программы, и лиц, привлекаемых Организацией к реализации образовательной программы на иных условиях (исходя из количества замещаемых ставок, приведенного к целочисленным значениям), ведущих научную, учебно-методическую и (или) практическую работу</w:t>
            </w:r>
            <w:r>
              <w:rPr>
                <w:color w:val="000000"/>
                <w:szCs w:val="28"/>
              </w:rPr>
              <w:t>, соответствующую профилю преподаваемой дисциплины (модуля), составляет 70 процентов.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Доля педагогических работников Организации и лиц, привлекаемых к образовательной деятельности Организации на иных условиях (исходя из количества замещаемых ставок, </w:t>
            </w:r>
            <w:r>
              <w:rPr>
                <w:color w:val="000000"/>
                <w:szCs w:val="28"/>
              </w:rPr>
              <w:t xml:space="preserve">приведенного к целочисленным значениям), имеющих ученую степень (в том числе ученую степень, полученную в иностранном государстве и признаваемую в Российской Федерации) и (или) ученое звание (в том числе ученое звание, полученное в иностранном государстве </w:t>
            </w:r>
            <w:r>
              <w:rPr>
                <w:color w:val="000000"/>
                <w:szCs w:val="28"/>
              </w:rPr>
              <w:t>и признаваемое в Российской Федерации), составляет 60 процентов.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Доля педагогических работников Организации, участвующих в реализации образовательной программы, и лиц, привлекаемых Организацией к реализации образовательной программы на иных условиях (исход</w:t>
            </w:r>
            <w:r>
              <w:rPr>
                <w:color w:val="000000"/>
                <w:szCs w:val="28"/>
              </w:rPr>
              <w:t>я из количества замещаемых ставок, приведенного к целочисленным значениям), являются руководителями и (или) работниками иных организаций, осуществляющими трудовую деятельность в профессиональной сфере, соответствующей профессиональной деятельности, к котор</w:t>
            </w:r>
            <w:r>
              <w:rPr>
                <w:color w:val="000000"/>
                <w:szCs w:val="28"/>
              </w:rPr>
              <w:t>ой готовятся выпускники (имеют стаж работы в данной профессиональной сфере не менее 3 лет), составляет 5 процентов.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Квалификация руководящих и педагогических работников Университета соответствует квалификационным характеристикам, установленным в Едином </w:t>
            </w:r>
            <w:r>
              <w:rPr>
                <w:color w:val="000000"/>
                <w:szCs w:val="28"/>
              </w:rPr>
              <w:t>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</w:t>
            </w:r>
            <w:r>
              <w:rPr>
                <w:color w:val="000000"/>
                <w:szCs w:val="28"/>
              </w:rPr>
              <w:t>ом Минздравсоцразвития РФ от 11.01.2011 № 1н и профессиональным стандартам (при наличии).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</w:t>
            </w:r>
            <w:r>
              <w:rPr>
                <w:color w:val="000000"/>
                <w:szCs w:val="28"/>
              </w:rPr>
              <w:t>у не менее чем величина аналогичного показателя мониторинга системы образования, утверждаемого Минобрнауки России.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14. Планируемые результаты освоения программы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В результате освоения программы у выпускника должны быть сформированы универсальные, </w:t>
            </w:r>
            <w:r>
              <w:rPr>
                <w:color w:val="000000"/>
                <w:szCs w:val="28"/>
              </w:rPr>
              <w:t>общепрофессиональные и профессиональные компетенции.</w:t>
            </w:r>
          </w:p>
        </w:tc>
      </w:tr>
      <w:tr w:rsidR="00441210" w:rsidTr="00590F39">
        <w:trPr>
          <w:trHeight w:val="483"/>
        </w:trPr>
        <w:tc>
          <w:tcPr>
            <w:tcW w:w="9654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Выпускник, освоивший программу, должен обладать следующими универсальными компетенциями: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осуществлять критический анализ проблемных ситуаций на основе системного подхода, вырабатывать стратегию</w:t>
            </w:r>
            <w:r>
              <w:rPr>
                <w:color w:val="000000"/>
                <w:szCs w:val="28"/>
              </w:rPr>
              <w:t xml:space="preserve"> действий (УК-1)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задачу, выделяя её базовые составляющие и осуществляет поиск достоверной информации для её решения (УК-1.1)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Определяет, интерпретирует и ранжирует информацию, требуемую для решения поставленной задачи (УК-1.2)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Применяет с</w:t>
            </w:r>
            <w:r>
              <w:rPr>
                <w:color w:val="000000"/>
                <w:szCs w:val="28"/>
              </w:rPr>
              <w:t>истемный подход для решения поставленных задач (УК- 1.3)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управлять проектом на всех этапах его жизненного цикла (УК-2)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Определяет круг задач в рамках поставленной цели, определяет взаимосвязи между ними, выбирает оптимальные способы их решения с</w:t>
            </w:r>
            <w:r>
              <w:rPr>
                <w:color w:val="000000"/>
                <w:szCs w:val="28"/>
              </w:rPr>
              <w:t xml:space="preserve"> учетом имеющихся ресурсов и ограничений (УК-2.1)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Планирует реализацию задач в зоне своей ответственности, с учетом действующих правовых норм (УК-2.2)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организовывать и руководить работой команды, вырабатывая командную стратегию для достижения по</w:t>
            </w:r>
            <w:r>
              <w:rPr>
                <w:color w:val="000000"/>
                <w:szCs w:val="28"/>
              </w:rPr>
              <w:t>ставленной цели (УК-3)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Определяет и реализует свою роль в социальном взаимодействии и командной работе, исходя из стратегии сотрудничества для достижения поставленной цели (УК-3.1)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Осуществляет обмен информацией, знаниями и опытом с членами команды; оц</w:t>
            </w:r>
            <w:r>
              <w:rPr>
                <w:color w:val="000000"/>
                <w:szCs w:val="28"/>
              </w:rPr>
              <w:t>енивает идеи других членов команды для достижения поставленных целей (УК-3.2)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 (УК-4)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- Ведёт деловую </w:t>
            </w:r>
            <w:r>
              <w:rPr>
                <w:color w:val="000000"/>
                <w:szCs w:val="28"/>
              </w:rPr>
              <w:t>переписку на иностранном языке; выполняет перевод официальных и профессиональных целей с иностранного языка на русский и с русского языка на иностранный; устно представляет результаты своей деятельности на иностранном языке (УК-4.1)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Ведёт деловую перепис</w:t>
            </w:r>
            <w:r>
              <w:rPr>
                <w:color w:val="000000"/>
                <w:szCs w:val="28"/>
              </w:rPr>
              <w:t>ку на русском языке с учётом особенностей стилистики официальных и неофициальных писем; выбирает стиль общения на русском языке в зависимости от цели и условий партнерства (УК-4.2)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анализировать и учитывать разнообразие культур в процессе межкульт</w:t>
            </w:r>
            <w:r>
              <w:rPr>
                <w:color w:val="000000"/>
                <w:szCs w:val="28"/>
              </w:rPr>
              <w:t>урного взаимодействия (УК-5)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Выявляет и анализирует особенности межкультурного взаимодействия, обусловленные различием социально-исторических, этических и ценностных систем. (УК-5.1)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Предлагает способы преодоления коммуникативных барьеров при межкульту</w:t>
            </w:r>
            <w:r>
              <w:rPr>
                <w:color w:val="000000"/>
                <w:szCs w:val="28"/>
              </w:rPr>
              <w:t>рном взаимодействии в этическом и философском контексте (УК- 5.2)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Демонстрирует толерантное восприятие социальных и культурных различий, уважительное и бережное отношению к историческому наследию и культурным традициям (УК-5.3)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Находит и использует нео</w:t>
            </w:r>
            <w:r>
              <w:rPr>
                <w:color w:val="000000"/>
                <w:szCs w:val="28"/>
              </w:rPr>
              <w:t>бходимую для саморазвития и взаимодействия с другими людьми информацию о культурных особенностях и традициях различных социальных групп (УК-5.4)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- Проявляет в своём поведении уважительное отношение к историческому наследию и социокультурным традициям </w:t>
            </w:r>
            <w:r>
              <w:rPr>
                <w:color w:val="000000"/>
                <w:szCs w:val="28"/>
              </w:rPr>
              <w:t>различных социальных групп, опирающееся на знание этапов исторического развития России в контексте мировой истории и культурных традиций мира (УК-5.5)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Сознательно выбирает ценностные ориентиры и гражданскую позицию; аргументировано обсуждает и решает про</w:t>
            </w:r>
            <w:r>
              <w:rPr>
                <w:color w:val="000000"/>
                <w:szCs w:val="28"/>
              </w:rPr>
              <w:t>блемы мировоззренческого, общественного и личностного характера (УК-5.6)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Применяет основные категории философии к анализу мировоззренческой специфики различных культурных сообществ. (УК-5.7)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историю России в контексте мирового исторического</w:t>
            </w:r>
            <w:r>
              <w:rPr>
                <w:color w:val="000000"/>
                <w:szCs w:val="28"/>
              </w:rPr>
              <w:t xml:space="preserve"> и культурного развития. (УК-5.8)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определять и реализовывать приоритеты собственной деятельности и способы ее совершенствования на основе самооценки и образования в течение всей жизни (УК-6)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Определяет приоритеты собственной деятельности, личнос</w:t>
            </w:r>
            <w:r>
              <w:rPr>
                <w:color w:val="000000"/>
                <w:szCs w:val="28"/>
              </w:rPr>
              <w:t>тного развития и профессионального роста (УК-6.1)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Оценивает требования рынка труда и предложения образовательных услуг для выстраивания траектории собственного профессионального роста (УК-6.2)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поддерживать должный уровень физической подготовленн</w:t>
            </w:r>
            <w:r>
              <w:rPr>
                <w:color w:val="000000"/>
                <w:szCs w:val="28"/>
              </w:rPr>
              <w:t>ости для обеспечения полноценной социальной и профессиональной деятельности (УК-7)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Планирует своё рабочее время для оптимального сочетания физической и умственной нагрузки и обеспечения работоспособности (УК- 7.1)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Соблюдает нормы здорового образа жизни</w:t>
            </w:r>
            <w:r>
              <w:rPr>
                <w:color w:val="000000"/>
                <w:szCs w:val="28"/>
              </w:rPr>
              <w:t xml:space="preserve"> и поддерживает должный уровень физической подготовки (УК-7.2)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среды, обеспечения устойчивого развития об</w:t>
            </w:r>
            <w:r>
              <w:rPr>
                <w:color w:val="000000"/>
                <w:szCs w:val="28"/>
              </w:rPr>
              <w:t>щества, в том числе при угрозе и возникновении чрезвычайных ситуаций и военных конфликтов (УК-8)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опасные и вредные факторы в повседневной и профессиональной деятельности, предлагает мероприятия по обеспечению безопасных условий жизнедеятельно</w:t>
            </w:r>
            <w:r>
              <w:rPr>
                <w:color w:val="000000"/>
                <w:szCs w:val="28"/>
              </w:rPr>
              <w:t>сти, в том числе в условиях чрезвычайных конфликтов (УК-8.1)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Обеспечивает безопасные условия жизнедеятельности при угрозе возникновения военных конфликтов, профессионально исполняет свои обязанности в условиях военного времени (УК-8.2)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принимать</w:t>
            </w:r>
            <w:r>
              <w:rPr>
                <w:color w:val="000000"/>
                <w:szCs w:val="28"/>
              </w:rPr>
              <w:t xml:space="preserve"> обоснованные экономические решения в различных областях жизнедеятельности (УК-9)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Анализирует экономически значимые явления и процессы при оценке эффективности результатов в различных областях жизнедеятельности (УК- 9.1)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Обосновывает экономические реше</w:t>
            </w:r>
            <w:r>
              <w:rPr>
                <w:color w:val="000000"/>
                <w:szCs w:val="28"/>
              </w:rPr>
              <w:t>ния в различных областях жизнедеятельности (УК-9.2)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 (УК-10)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Выявляет и оценивает коррупционн</w:t>
            </w:r>
            <w:r>
              <w:rPr>
                <w:color w:val="000000"/>
                <w:szCs w:val="28"/>
              </w:rPr>
              <w:t>ое действие и содействует его пресечению в рамках правовых мер; квалифицирует коррупционное поведение как правонарушение (УК-10.1)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Формирует нетерпимое отношение к проявлению экстремизма и терроризма и квалифицирует их как правонарушение (УК-10.2)</w:t>
            </w:r>
          </w:p>
        </w:tc>
      </w:tr>
      <w:tr w:rsidR="00441210" w:rsidTr="00590F39">
        <w:trPr>
          <w:trHeight w:val="483"/>
        </w:trPr>
        <w:tc>
          <w:tcPr>
            <w:tcW w:w="9654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441210" w:rsidP="00590F39">
            <w:pPr>
              <w:spacing w:after="0" w:line="360" w:lineRule="auto"/>
            </w:pP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Выпускник, освоивший программу, должен обладать следующими общепрофессиональными компетенциями: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анализировать, интерпретировать и обобщать результаты экспериментальных и расчетно-теоретических работ химической направленности (ОПК-1)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Изучает и по</w:t>
            </w:r>
            <w:r>
              <w:rPr>
                <w:color w:val="000000"/>
                <w:szCs w:val="28"/>
              </w:rPr>
              <w:t>нимает строение и свойства химических веществ (ОПК- 1.1)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Интерпретирует и обобщает результаты экспериментов и расчетно- теоретических работ химической направленности (ОПК-1.2)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проводить химический эксперимент с использованием современного оборуд</w:t>
            </w:r>
            <w:r>
              <w:rPr>
                <w:color w:val="000000"/>
                <w:szCs w:val="28"/>
              </w:rPr>
              <w:t>ования, соблюдая нормы техники безопасности (ОПК- 2)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Владеет основами проведения химического эксперимента с соблюдением норм техники безопасности (ОПК-2.1)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Изучает свойства химических веществ и материалов с использованием современного научного оборудов</w:t>
            </w:r>
            <w:r>
              <w:rPr>
                <w:color w:val="000000"/>
                <w:szCs w:val="28"/>
              </w:rPr>
              <w:t>ания (ОПК-2.2)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применять расчетно-теоретические методы для изучения свойств веществ и процессов с их участием, используя современное программное обеспечение и базы данных профессионального назначения (ОПК-3)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Владеет основами расчетно-теоретическ</w:t>
            </w:r>
            <w:r>
              <w:rPr>
                <w:color w:val="000000"/>
                <w:szCs w:val="28"/>
              </w:rPr>
              <w:t>их методов для изучения свойств веществ и процессов с их участием для решения поставленных задач (ОПК-3.1)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Использует стандартное программное обеспечение и базы данных физико-химических свойств химических соединений (ОПК-3.2)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Способен планировать работы </w:t>
            </w:r>
            <w:r>
              <w:rPr>
                <w:color w:val="000000"/>
                <w:szCs w:val="28"/>
              </w:rPr>
              <w:t>химической направленности, обрабатывать и интерпретировать полученные результаты с использованием теоретических знаний и практических навыков решения математических и физических задач (ОПК-4)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Применяет фундаментальную теорию и численные методы высшей мат</w:t>
            </w:r>
            <w:r>
              <w:rPr>
                <w:color w:val="000000"/>
                <w:szCs w:val="28"/>
              </w:rPr>
              <w:t>ематики для решения поставленных задач (ОПК-4.1)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Планирует работы химической направленности, обрабатывает и интерпретирует полученные экспериментальные данные (ОПК-4.2)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Использует основные законы физики для решения задач профессиональной деятельности (</w:t>
            </w:r>
            <w:r>
              <w:rPr>
                <w:color w:val="000000"/>
                <w:szCs w:val="28"/>
              </w:rPr>
              <w:t>ОПК-4.3)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понимать принципы работы информационных технологий, использовать информационные базы данных и адаптировать существующие программные продукты для решения задач профессиональной деятельности с учетом основных требований информационной безоп</w:t>
            </w:r>
            <w:r>
              <w:rPr>
                <w:color w:val="000000"/>
                <w:szCs w:val="28"/>
              </w:rPr>
              <w:t>асности (ОПК-5)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Понимает принципы работы современных информационных технологий (ОПК-5.1)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Понимает принципы работы с большими данными и функционирования интеллектуальных систем (ОПК-5.2)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- Использует современные информационные технологии и базы данных, </w:t>
            </w:r>
            <w:r>
              <w:rPr>
                <w:color w:val="000000"/>
                <w:szCs w:val="28"/>
              </w:rPr>
              <w:t>адаптирует существующие программные продукты для решения задач профессиональной деятельности с учетом основных требований информационной безопасности (ОПК-5.3)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представлять результаты профессиональной деятельности в устной и письменной форме в соо</w:t>
            </w:r>
            <w:r>
              <w:rPr>
                <w:color w:val="000000"/>
                <w:szCs w:val="28"/>
              </w:rPr>
              <w:t>тветствии с нормами и правилами, принятыми в профессиональном сообществе (ОПК-6)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Представляет результаты работы в виде научного отчета или научной публикации в рамках своей профессиональной деятельности (ОПК-6.1)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Излагает в устной форме результаты свое</w:t>
            </w:r>
            <w:r>
              <w:rPr>
                <w:color w:val="000000"/>
                <w:szCs w:val="28"/>
              </w:rPr>
              <w:t>й работы в соответствии с нормами и правилами, принятыми в профессиональном сообществе (ОПК- 6.2)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Выпускник, освоивший программу, должен обладать профессиональными компетенциями, соответствующими типу (типам) задач профессиональной деятельности, на которы</w:t>
            </w:r>
            <w:r>
              <w:rPr>
                <w:color w:val="000000"/>
                <w:szCs w:val="28"/>
              </w:rPr>
              <w:t>й (которые) ориентирована программа: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b/>
                <w:color w:val="000000"/>
                <w:szCs w:val="28"/>
              </w:rPr>
              <w:t>научно-исследовательский</w:t>
            </w:r>
          </w:p>
        </w:tc>
      </w:tr>
      <w:tr w:rsidR="00441210" w:rsidTr="00590F39">
        <w:tc>
          <w:tcPr>
            <w:tcW w:w="965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Способен планировать научно-исследовательскую работу и выбирать подходы и методы решения научно-исследовательских задач при разработке катализаторов и химических процессов, соответствующих при</w:t>
            </w:r>
            <w:r>
              <w:rPr>
                <w:color w:val="000000"/>
                <w:szCs w:val="28"/>
              </w:rPr>
              <w:t>нципам «зелёной химии» (ПК-1)  (Определена на основании профессионального стандарта 40.011 «Специалист по научно-исследовательским и опытно- конструкторским разработкам», обобщенной трудовой функции «Проведение научно-исследовательских и опытно-конструктор</w:t>
            </w:r>
            <w:r>
              <w:rPr>
                <w:color w:val="000000"/>
                <w:szCs w:val="28"/>
              </w:rPr>
              <w:t>ских разработок при исследовании самостоятельных тем»)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Проводит литературный и патентный поиск, систематизирует полученные литературные данные по тематике исследования (ПК-1.1)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- Составляет общий и детальные планы отдельных стадий научного исследования </w:t>
            </w:r>
            <w:r>
              <w:rPr>
                <w:color w:val="000000"/>
                <w:szCs w:val="28"/>
              </w:rPr>
              <w:t>на основе фундаментальных знаний и литературного поиска в области «зелёной химии» (ПК-1.2)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Выбирает современные подходы к решению поставленных задач при разработке катализаторов и химических процессов, соответствующих принципам «зелёной химии» (ПК-1.3)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С</w:t>
            </w:r>
            <w:r>
              <w:rPr>
                <w:color w:val="000000"/>
                <w:szCs w:val="28"/>
              </w:rPr>
              <w:t>пособен анализировать, разрабатывать и оптимизировать химические реакции для решения фундаментальных и прикладных задач в области «зелёной химии» и катализа (ПК-2)  (Определена на основании профессионального стандарта 40.011 «Специалист по научно- исследов</w:t>
            </w:r>
            <w:r>
              <w:rPr>
                <w:color w:val="000000"/>
                <w:szCs w:val="28"/>
              </w:rPr>
              <w:t>ательским и опытно-конструкторским разработкам», обобщенной трудовой функции «Проведение научно-исследовательских и опытно- конструкторских разработок при исследовании самостоятельных тем»)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Владеет основами экспериментальных и расчетно-теоретических мето</w:t>
            </w:r>
            <w:r>
              <w:rPr>
                <w:color w:val="000000"/>
                <w:szCs w:val="28"/>
              </w:rPr>
              <w:t>дов исследования химических процессов (ПК-2.1)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Проводит научные исследования, направленные на изучение механизмов каталитических реакций (ПК-2.2)</w:t>
            </w:r>
          </w:p>
          <w:p w:rsidR="00441210" w:rsidRDefault="00590F39" w:rsidP="00590F39">
            <w:pPr>
              <w:spacing w:after="0" w:line="360" w:lineRule="auto"/>
              <w:ind w:firstLine="756"/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- Проводит исследования химического процесса для его усовершенствования и приведения в максимальное соответс</w:t>
            </w:r>
            <w:r>
              <w:rPr>
                <w:color w:val="000000"/>
                <w:szCs w:val="28"/>
              </w:rPr>
              <w:t>твие принципам и требованиям «зелёной химии» (ПК-2.3)</w:t>
            </w:r>
          </w:p>
        </w:tc>
      </w:tr>
    </w:tbl>
    <w:p w:rsidR="00441210" w:rsidRDefault="00441210"/>
    <w:sectPr w:rsidR="00441210">
      <w:pgSz w:w="11907" w:h="16840"/>
      <w:pgMar w:top="1134" w:right="567" w:bottom="108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441210"/>
    <w:rsid w:val="00590F39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1B69DFB-48D0-4E08-9F35-A48FDB488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2636</Words>
  <Characters>15028</Characters>
  <Application>Microsoft Office Word</Application>
  <DocSecurity>0</DocSecurity>
  <Lines>125</Lines>
  <Paragraphs>35</Paragraphs>
  <ScaleCrop>false</ScaleCrop>
  <Company/>
  <LinksUpToDate>false</LinksUpToDate>
  <CharactersWithSpaces>17629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МИРЭАOPOP</dc:title>
  <dc:creator>FastReport.NET</dc:creator>
  <cp:lastModifiedBy>Пользователь Windows</cp:lastModifiedBy>
  <cp:revision>2</cp:revision>
  <dcterms:created xsi:type="dcterms:W3CDTF">2025-04-17T14:09:00Z</dcterms:created>
  <dcterms:modified xsi:type="dcterms:W3CDTF">2025-04-17T14:09:00Z</dcterms:modified>
</cp:coreProperties>
</file>