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" w:cs="Arial" w:hAnsi="Arial" w:eastAsia="Arial"/>
          <w:sz w:val="24"/>
          <w:szCs w:val="24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НАИМЕНОВАНИЕ И СОДЕРЖАНИЕ ОБОБЩЕННЫХ ТИПОВЫХ ФУНКЦИЙ ПРОФЕССИОНАЛЬНОГО СТАНДАРТА УПРАВЛЕНИЯ ПЕРСОНАЛОМ</w:t>
      </w:r>
    </w:p>
    <w:tbl>
      <w:tblPr>
        <w:tblW w:w="9571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571"/>
      </w:tblGrid>
      <w:tr>
        <w:tblPrEx>
          <w:shd w:val="clear" w:color="auto" w:fill="ced7e7"/>
        </w:tblPrEx>
        <w:trPr>
          <w:trHeight w:val="82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Документационное обеспечение работы с персоналом</w:t>
            </w:r>
          </w:p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Ведение организационной и распорядительной документации по персоналу 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Ведение документации по учету и движению кадров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Администрирование процессов и документооборота по учету и движению кадров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представлению документов по персоналу в государственные органы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обеспечению персоналом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/>
                <w:sz w:val="24"/>
                <w:szCs w:val="24"/>
                <w:u w:val="single"/>
                <w:rtl w:val="0"/>
                <w:lang w:val="ru-RU"/>
              </w:rPr>
              <w:t xml:space="preserve">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Сбор информации о потребностях организации в персонале 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Поиск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привлечение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подбор и отбор персонала</w:t>
            </w:r>
          </w:p>
          <w:p>
            <w:pPr>
              <w:pStyle w:val="Normal.0"/>
              <w:numPr>
                <w:ilvl w:val="0"/>
                <w:numId w:val="2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Администрирование процессов и документооборота обеспечения персоналом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оценке и аттестации персонала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Организация и проведение оценки персонала 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 Организация и проведение аттестации персонала</w:t>
            </w:r>
          </w:p>
          <w:p>
            <w:pPr>
              <w:pStyle w:val="Normal.0"/>
              <w:numPr>
                <w:ilvl w:val="0"/>
                <w:numId w:val="3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 Администрирование процессов и документооборота при проведении оценки и аттестации персонала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72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развитию персонала</w:t>
            </w:r>
          </w:p>
        </w:tc>
      </w:tr>
      <w:tr>
        <w:tblPrEx>
          <w:shd w:val="clear" w:color="auto" w:fill="ced7e7"/>
        </w:tblPrEx>
        <w:trPr>
          <w:trHeight w:val="254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Организация и проведение мероприятий по развитию и построению профессиональной карьеры персонала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Организация обучения персонала 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Организация адаптации и стажировки персонала</w:t>
            </w:r>
          </w:p>
          <w:p>
            <w:pPr>
              <w:pStyle w:val="Normal.0"/>
              <w:numPr>
                <w:ilvl w:val="0"/>
                <w:numId w:val="4"/>
              </w:numPr>
              <w:bidi w:val="0"/>
              <w:spacing w:after="0" w:line="240" w:lineRule="auto"/>
              <w:ind w:right="0"/>
              <w:jc w:val="both"/>
              <w:rPr>
                <w:rFonts w:ascii="Arial" w:cs="Arial" w:hAnsi="Arial" w:eastAsia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 Администрирование процессов и документооборота по развитию и профессиональной карьере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обучению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, </w:t>
            </w: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адаптации и стажировке персонала</w:t>
            </w: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>\</w:t>
            </w:r>
          </w:p>
          <w:p>
            <w:pPr>
              <w:pStyle w:val="Normal.0"/>
              <w:bidi w:val="0"/>
              <w:spacing w:after="0" w:line="240" w:lineRule="auto"/>
              <w:ind w:left="426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sz w:val="24"/>
                <w:szCs w:val="24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36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организации труда и оплаты персонала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Организация труда персонала 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Организация оплаты труда персонала</w:t>
            </w:r>
          </w:p>
          <w:p>
            <w:pPr>
              <w:pStyle w:val="Normal.0"/>
              <w:numPr>
                <w:ilvl w:val="0"/>
                <w:numId w:val="5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Администрирование процессов и документооборота по вопросам организации труда и оплаты персонала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организации корпоративной социальной политики</w:t>
            </w:r>
          </w:p>
        </w:tc>
      </w:tr>
      <w:tr>
        <w:tblPrEx>
          <w:shd w:val="clear" w:color="auto" w:fill="ced7e7"/>
        </w:tblPrEx>
        <w:trPr>
          <w:trHeight w:val="170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Разработка корпоративной социальной политики 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Реализация корпоративной социальной политики</w:t>
            </w:r>
          </w:p>
          <w:p>
            <w:pPr>
              <w:pStyle w:val="Normal.0"/>
              <w:numPr>
                <w:ilvl w:val="0"/>
                <w:numId w:val="6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Администрирование процессов и документооборота по вопросам корпоративной социальной политики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86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Деятельность по организации работы с персоналом из числа иностранных граждан и лиц без гражданства</w:t>
            </w:r>
          </w:p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Разработка мероприятий по работе с персоналом из числа иностранных граждан и лиц без гражданства 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 xml:space="preserve">Организация работы с персоналом из числа иностранных граждан и лиц без гражданства </w:t>
            </w:r>
          </w:p>
          <w:p>
            <w:pPr>
              <w:pStyle w:val="Normal.0"/>
              <w:numPr>
                <w:ilvl w:val="0"/>
                <w:numId w:val="7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  <w:t>Администрирование процессов и документооборота по вопросам привлечения иностранных граждан и лиц без гражданства</w:t>
            </w:r>
            <w:r>
              <w:rPr>
                <w:rFonts w:ascii="Arial" w:cs="Arial" w:hAnsi="Arial" w:eastAsia="Arial"/>
                <w:sz w:val="24"/>
                <w:szCs w:val="24"/>
              </w:rPr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Операционное управление персоналом и подразделением организации</w:t>
            </w:r>
          </w:p>
        </w:tc>
      </w:tr>
      <w:tr>
        <w:tblPrEx>
          <w:shd w:val="clear" w:color="auto" w:fill="ced7e7"/>
        </w:tblPrEx>
        <w:trPr>
          <w:trHeight w:val="226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Разработка системы операционного управления персоналом и работы структурного подразделения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Реализация операционного управления персоналом и работы структурного подразделения</w:t>
            </w:r>
          </w:p>
          <w:p>
            <w:pPr>
              <w:pStyle w:val="Normal.0"/>
              <w:numPr>
                <w:ilvl w:val="0"/>
                <w:numId w:val="8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</w:tr>
      <w:tr>
        <w:tblPrEx>
          <w:shd w:val="clear" w:color="auto" w:fill="ced7e7"/>
        </w:tblPrEx>
        <w:trPr>
          <w:trHeight w:val="580" w:hRule="atLeast"/>
        </w:trPr>
        <w:tc>
          <w:tcPr>
            <w:tcW w:type="dxa" w:w="9571"/>
            <w:tcBorders>
              <w:top w:val="single" w:color="000000" w:sz="18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40" w:after="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4"/>
                <w:szCs w:val="24"/>
              </w:rPr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Типовая функция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Стратегическое управление персоналом организации</w:t>
            </w:r>
          </w:p>
        </w:tc>
      </w:tr>
      <w:tr>
        <w:tblPrEx>
          <w:shd w:val="clear" w:color="auto" w:fill="ced7e7"/>
        </w:tblPrEx>
        <w:trPr>
          <w:trHeight w:val="1980" w:hRule="atLeast"/>
        </w:trPr>
        <w:tc>
          <w:tcPr>
            <w:tcW w:type="dxa" w:w="957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18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0" w:line="240" w:lineRule="auto"/>
              <w:jc w:val="center"/>
            </w:pPr>
            <w:r>
              <w:rPr>
                <w:rFonts w:ascii="Arial" w:hAnsi="Arial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Содержание типовой функции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Разработка системы стратегического управления персоналом организации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Реализация системы стратегического управления персоналом организации</w:t>
            </w:r>
          </w:p>
          <w:p>
            <w:pPr>
              <w:pStyle w:val="Normal.0"/>
              <w:numPr>
                <w:ilvl w:val="0"/>
                <w:numId w:val="9"/>
              </w:numPr>
              <w:bidi w:val="0"/>
              <w:spacing w:after="0" w:line="240" w:lineRule="auto"/>
              <w:ind w:right="0"/>
              <w:jc w:val="both"/>
              <w:rPr>
                <w:rFonts w:ascii="Arial" w:hAnsi="Arial" w:hint="default"/>
                <w:sz w:val="24"/>
                <w:szCs w:val="24"/>
                <w:rtl w:val="0"/>
                <w:lang w:val="ru-RU"/>
              </w:rPr>
            </w:pPr>
            <w:r>
              <w:rPr>
                <w:rFonts w:ascii="Arial" w:hAnsi="Arial" w:hint="default"/>
                <w:color w:val="333333"/>
                <w:sz w:val="24"/>
                <w:szCs w:val="24"/>
                <w:u w:color="333333"/>
                <w:rtl w:val="0"/>
                <w:lang w:val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</w:tr>
    </w:tbl>
    <w:p>
      <w:pPr>
        <w:pStyle w:val="Normal.0"/>
        <w:widowControl w:val="0"/>
        <w:spacing w:line="240" w:lineRule="auto"/>
        <w:jc w:val="center"/>
        <w:rPr>
          <w:rFonts w:ascii="Arial" w:cs="Arial" w:hAnsi="Arial" w:eastAsia="Arial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rmal.0"/>
        <w:spacing w:after="0" w:line="240" w:lineRule="auto"/>
        <w:jc w:val="both"/>
      </w:pPr>
      <w:r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•"/>
      <w:lvlJc w:val="left"/>
      <w:pPr>
        <w:tabs>
          <w:tab w:val="num" w:pos="1416"/>
        </w:tabs>
        <w:ind w:left="720" w:firstLine="4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2136"/>
        </w:tabs>
        <w:ind w:left="1440" w:firstLine="43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856"/>
        </w:tabs>
        <w:ind w:left="2160" w:firstLine="45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3576"/>
        </w:tabs>
        <w:ind w:left="2880" w:firstLine="46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4296"/>
        </w:tabs>
        <w:ind w:left="3600" w:firstLine="47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5016"/>
        </w:tabs>
        <w:ind w:left="4320" w:firstLine="4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5736"/>
        </w:tabs>
        <w:ind w:left="5040" w:firstLine="49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6456"/>
        </w:tabs>
        <w:ind w:left="5760" w:firstLine="51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7176"/>
        </w:tabs>
        <w:ind w:left="6480" w:firstLine="5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